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88864857"/>
        <w:docPartObj>
          <w:docPartGallery w:val="Cover Pages"/>
          <w:docPartUnique/>
        </w:docPartObj>
      </w:sdtPr>
      <w:sdtEndPr>
        <w:rPr>
          <w:b/>
          <w:bCs/>
          <w:color w:val="000000"/>
        </w:rPr>
      </w:sdtEndPr>
      <w:sdtContent>
        <w:p w14:paraId="4C7F64AE" w14:textId="77777777" w:rsidR="00CB2FF5" w:rsidRDefault="00CB2FF5" w:rsidP="00CB2FF5">
          <w:r>
            <w:rPr>
              <w:noProof/>
            </w:rPr>
            <w:drawing>
              <wp:inline distT="0" distB="0" distL="0" distR="0" wp14:anchorId="2C85186A" wp14:editId="09066930">
                <wp:extent cx="3785136" cy="2733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3807197" cy="2749608"/>
                        </a:xfrm>
                        <a:prstGeom prst="rect">
                          <a:avLst/>
                        </a:prstGeom>
                      </pic:spPr>
                    </pic:pic>
                  </a:graphicData>
                </a:graphic>
              </wp:inline>
            </w:drawing>
          </w:r>
        </w:p>
        <w:p w14:paraId="4E46555B" w14:textId="77777777" w:rsidR="00CB2FF5" w:rsidRDefault="00CB2FF5" w:rsidP="00CB2FF5">
          <w:pPr>
            <w:spacing w:after="0" w:line="240" w:lineRule="auto"/>
            <w:rPr>
              <w:rFonts w:ascii="Times New Roman" w:hAnsi="Times New Roman"/>
              <w:b/>
              <w:bCs/>
              <w:color w:val="000000"/>
              <w:sz w:val="24"/>
              <w:szCs w:val="24"/>
              <w:lang w:eastAsia="pt-BR"/>
            </w:rPr>
          </w:pPr>
          <w:r>
            <w:rPr>
              <w:noProof/>
            </w:rPr>
            <mc:AlternateContent>
              <mc:Choice Requires="wps">
                <w:drawing>
                  <wp:anchor distT="0" distB="0" distL="182880" distR="182880" simplePos="0" relativeHeight="251660288" behindDoc="0" locked="0" layoutInCell="1" allowOverlap="1" wp14:anchorId="55FDFF46" wp14:editId="0C36FA0C">
                    <wp:simplePos x="0" y="0"/>
                    <mc:AlternateContent>
                      <mc:Choice Requires="wp14">
                        <wp:positionH relativeFrom="margin">
                          <wp14:pctPosHOffset>7700</wp14:pctPosHOffset>
                        </wp:positionH>
                      </mc:Choice>
                      <mc:Fallback>
                        <wp:positionH relativeFrom="page">
                          <wp:posOffset>1764665</wp:posOffset>
                        </wp:positionH>
                      </mc:Fallback>
                    </mc:AlternateContent>
                    <mc:AlternateContent>
                      <mc:Choice Requires="wp14">
                        <wp:positionV relativeFrom="page">
                          <wp14:pctPosVOffset>54000</wp14:pctPosVOffset>
                        </wp:positionV>
                      </mc:Choice>
                      <mc:Fallback>
                        <wp:positionV relativeFrom="page">
                          <wp:posOffset>4082415</wp:posOffset>
                        </wp:positionV>
                      </mc:Fallback>
                    </mc:AlternateContent>
                    <wp:extent cx="4686300" cy="6720840"/>
                    <wp:effectExtent l="0" t="0" r="10160" b="3810"/>
                    <wp:wrapSquare wrapText="bothSides"/>
                    <wp:docPr id="131" name="Caixa de Texto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6F525" w14:textId="70BBCE22" w:rsidR="00CB2FF5" w:rsidRPr="00373B18" w:rsidRDefault="00450CFF" w:rsidP="00CB2FF5">
                                <w:pPr>
                                  <w:pStyle w:val="SemEspaamento"/>
                                  <w:spacing w:before="40" w:after="560" w:line="216" w:lineRule="auto"/>
                                  <w:rPr>
                                    <w:color w:val="0070C0"/>
                                    <w:sz w:val="44"/>
                                    <w:szCs w:val="44"/>
                                  </w:rPr>
                                </w:pPr>
                                <w:sdt>
                                  <w:sdtPr>
                                    <w:rPr>
                                      <w:rFonts w:ascii="Times New Roman" w:hAnsi="Times New Roman"/>
                                      <w:b/>
                                      <w:color w:val="0070C0"/>
                                      <w:sz w:val="44"/>
                                      <w:szCs w:val="44"/>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61265">
                                      <w:rPr>
                                        <w:rFonts w:ascii="Times New Roman" w:hAnsi="Times New Roman"/>
                                        <w:b/>
                                        <w:color w:val="0070C0"/>
                                        <w:sz w:val="44"/>
                                        <w:szCs w:val="44"/>
                                      </w:rPr>
                                      <w:t xml:space="preserve">RELATÓRIO CONTÁBIL - </w:t>
                                    </w:r>
                                    <w:r w:rsidR="00955208">
                                      <w:rPr>
                                        <w:rFonts w:ascii="Times New Roman" w:hAnsi="Times New Roman"/>
                                        <w:b/>
                                        <w:color w:val="0070C0"/>
                                        <w:sz w:val="44"/>
                                        <w:szCs w:val="44"/>
                                      </w:rPr>
                                      <w:t>4</w:t>
                                    </w:r>
                                    <w:r w:rsidR="00661265">
                                      <w:rPr>
                                        <w:rFonts w:ascii="Times New Roman" w:hAnsi="Times New Roman"/>
                                        <w:b/>
                                        <w:color w:val="0070C0"/>
                                        <w:sz w:val="44"/>
                                        <w:szCs w:val="44"/>
                                      </w:rPr>
                                      <w:t>º TRIMESTRE DE 2024</w:t>
                                    </w:r>
                                  </w:sdtContent>
                                </w:sdt>
                              </w:p>
                              <w:sdt>
                                <w:sdtPr>
                                  <w:rPr>
                                    <w:caps/>
                                    <w:color w:val="1F4E79" w:themeColor="accent5" w:themeShade="80"/>
                                    <w:sz w:val="28"/>
                                    <w:szCs w:val="28"/>
                                  </w:rPr>
                                  <w:alias w:val="Subtítulo"/>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0FA75666" w14:textId="77777777" w:rsidR="00CB2FF5" w:rsidRDefault="00CB2FF5" w:rsidP="00CB2FF5">
                                    <w:pPr>
                                      <w:pStyle w:val="SemEspaamento"/>
                                      <w:spacing w:before="40" w:after="40"/>
                                      <w:rPr>
                                        <w:caps/>
                                        <w:color w:val="1F4E79" w:themeColor="accent5" w:themeShade="80"/>
                                        <w:sz w:val="28"/>
                                        <w:szCs w:val="28"/>
                                      </w:rPr>
                                    </w:pPr>
                                    <w:r>
                                      <w:rPr>
                                        <w:caps/>
                                        <w:color w:val="1F4E79" w:themeColor="accent5" w:themeShade="80"/>
                                        <w:sz w:val="28"/>
                                        <w:szCs w:val="28"/>
                                      </w:rPr>
                                      <w:t xml:space="preserve">     </w:t>
                                    </w:r>
                                  </w:p>
                                </w:sdtContent>
                              </w:sdt>
                              <w:p w14:paraId="21AA453F" w14:textId="77777777" w:rsidR="00CB2FF5" w:rsidRDefault="00CB2FF5" w:rsidP="00CB2FF5">
                                <w:pPr>
                                  <w:pStyle w:val="SemEspaamento"/>
                                  <w:spacing w:before="80" w:after="40"/>
                                  <w:rPr>
                                    <w:caps/>
                                    <w:color w:val="5B9BD5" w:themeColor="accent5"/>
                                    <w:sz w:val="24"/>
                                    <w:szCs w:val="24"/>
                                  </w:rPr>
                                </w:pPr>
                                <w:r>
                                  <w:rPr>
                                    <w:caps/>
                                    <w:color w:val="5B9BD5" w:themeColor="accent5"/>
                                    <w:sz w:val="24"/>
                                    <w:szCs w:val="24"/>
                                  </w:rPr>
                                  <w:t>CIRO LIMA SILVA</w:t>
                                </w:r>
                              </w:p>
                              <w:p w14:paraId="1C2F5296" w14:textId="7307AF84" w:rsidR="00CB2FF5" w:rsidRDefault="00CB2FF5" w:rsidP="00CB2FF5">
                                <w:pPr>
                                  <w:pStyle w:val="SemEspaamento"/>
                                  <w:spacing w:before="80" w:after="40"/>
                                  <w:rPr>
                                    <w:caps/>
                                    <w:color w:val="5B9BD5" w:themeColor="accent5"/>
                                    <w:sz w:val="24"/>
                                    <w:szCs w:val="24"/>
                                  </w:rPr>
                                </w:pPr>
                                <w:r>
                                  <w:rPr>
                                    <w:caps/>
                                    <w:color w:val="5B9BD5" w:themeColor="accent5"/>
                                    <w:sz w:val="24"/>
                                    <w:szCs w:val="24"/>
                                  </w:rPr>
                                  <w:t xml:space="preserve">cONTADOR GERAL DO </w:t>
                                </w:r>
                                <w:r w:rsidR="00B43B48">
                                  <w:rPr>
                                    <w:caps/>
                                    <w:color w:val="5B9BD5" w:themeColor="accent5"/>
                                    <w:sz w:val="24"/>
                                    <w:szCs w:val="24"/>
                                  </w:rPr>
                                  <w:t>INSTITUTO FEDERAL DO PIAUÍ</w:t>
                                </w:r>
                              </w:p>
                              <w:p w14:paraId="08E553BE" w14:textId="47056173" w:rsidR="00B43B48" w:rsidRDefault="00B43B48" w:rsidP="00CB2FF5">
                                <w:pPr>
                                  <w:pStyle w:val="SemEspaamento"/>
                                  <w:spacing w:before="80" w:after="40"/>
                                  <w:rPr>
                                    <w:caps/>
                                    <w:color w:val="5B9BD5" w:themeColor="accent5"/>
                                    <w:sz w:val="24"/>
                                    <w:szCs w:val="24"/>
                                  </w:rPr>
                                </w:pPr>
                                <w:r>
                                  <w:rPr>
                                    <w:caps/>
                                    <w:color w:val="5B9BD5" w:themeColor="accent5"/>
                                    <w:sz w:val="24"/>
                                    <w:szCs w:val="24"/>
                                  </w:rPr>
                                  <w:t>CRC</w:t>
                                </w:r>
                                <w:r w:rsidR="00661265">
                                  <w:rPr>
                                    <w:caps/>
                                    <w:color w:val="5B9BD5" w:themeColor="accent5"/>
                                    <w:sz w:val="24"/>
                                    <w:szCs w:val="24"/>
                                  </w:rPr>
                                  <w:t xml:space="preserve"> - pi </w:t>
                                </w:r>
                                <w:r w:rsidR="00661265" w:rsidRPr="00661265">
                                  <w:rPr>
                                    <w:caps/>
                                    <w:color w:val="5B9BD5" w:themeColor="accent5"/>
                                    <w:sz w:val="24"/>
                                    <w:szCs w:val="24"/>
                                  </w:rPr>
                                  <w:t>006698/O-9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55FDFF46" id="_x0000_t202" coordsize="21600,21600" o:spt="202" path="m,l,21600r21600,l21600,xe">
                    <v:stroke joinstyle="miter"/>
                    <v:path gradientshapeok="t" o:connecttype="rect"/>
                  </v:shapetype>
                  <v:shape id="Caixa de Texto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1576F525" w14:textId="70BBCE22" w:rsidR="00CB2FF5" w:rsidRPr="00373B18" w:rsidRDefault="004A3412" w:rsidP="00CB2FF5">
                          <w:pPr>
                            <w:pStyle w:val="SemEspaamento"/>
                            <w:spacing w:before="40" w:after="560" w:line="216" w:lineRule="auto"/>
                            <w:rPr>
                              <w:color w:val="0070C0"/>
                              <w:sz w:val="44"/>
                              <w:szCs w:val="44"/>
                            </w:rPr>
                          </w:pPr>
                          <w:sdt>
                            <w:sdtPr>
                              <w:rPr>
                                <w:rFonts w:ascii="Times New Roman" w:hAnsi="Times New Roman"/>
                                <w:b/>
                                <w:color w:val="0070C0"/>
                                <w:sz w:val="44"/>
                                <w:szCs w:val="44"/>
                              </w:rPr>
                              <w:alias w:val="Título"/>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61265">
                                <w:rPr>
                                  <w:rFonts w:ascii="Times New Roman" w:hAnsi="Times New Roman"/>
                                  <w:b/>
                                  <w:color w:val="0070C0"/>
                                  <w:sz w:val="44"/>
                                  <w:szCs w:val="44"/>
                                </w:rPr>
                                <w:t xml:space="preserve">RELATÓRIO CONTÁBIL - </w:t>
                              </w:r>
                              <w:r w:rsidR="00955208">
                                <w:rPr>
                                  <w:rFonts w:ascii="Times New Roman" w:hAnsi="Times New Roman"/>
                                  <w:b/>
                                  <w:color w:val="0070C0"/>
                                  <w:sz w:val="44"/>
                                  <w:szCs w:val="44"/>
                                </w:rPr>
                                <w:t>4</w:t>
                              </w:r>
                              <w:r w:rsidR="00661265">
                                <w:rPr>
                                  <w:rFonts w:ascii="Times New Roman" w:hAnsi="Times New Roman"/>
                                  <w:b/>
                                  <w:color w:val="0070C0"/>
                                  <w:sz w:val="44"/>
                                  <w:szCs w:val="44"/>
                                </w:rPr>
                                <w:t>º TRIMESTRE DE 2024</w:t>
                              </w:r>
                            </w:sdtContent>
                          </w:sdt>
                        </w:p>
                        <w:sdt>
                          <w:sdtPr>
                            <w:rPr>
                              <w:caps/>
                              <w:color w:val="1F4E79" w:themeColor="accent5" w:themeShade="80"/>
                              <w:sz w:val="28"/>
                              <w:szCs w:val="28"/>
                            </w:rPr>
                            <w:alias w:val="Subtítulo"/>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0FA75666" w14:textId="77777777" w:rsidR="00CB2FF5" w:rsidRDefault="00CB2FF5" w:rsidP="00CB2FF5">
                              <w:pPr>
                                <w:pStyle w:val="SemEspaamento"/>
                                <w:spacing w:before="40" w:after="40"/>
                                <w:rPr>
                                  <w:caps/>
                                  <w:color w:val="1F4E79" w:themeColor="accent5" w:themeShade="80"/>
                                  <w:sz w:val="28"/>
                                  <w:szCs w:val="28"/>
                                </w:rPr>
                              </w:pPr>
                              <w:r>
                                <w:rPr>
                                  <w:caps/>
                                  <w:color w:val="1F4E79" w:themeColor="accent5" w:themeShade="80"/>
                                  <w:sz w:val="28"/>
                                  <w:szCs w:val="28"/>
                                </w:rPr>
                                <w:t xml:space="preserve">     </w:t>
                              </w:r>
                            </w:p>
                          </w:sdtContent>
                        </w:sdt>
                        <w:p w14:paraId="21AA453F" w14:textId="77777777" w:rsidR="00CB2FF5" w:rsidRDefault="00CB2FF5" w:rsidP="00CB2FF5">
                          <w:pPr>
                            <w:pStyle w:val="SemEspaamento"/>
                            <w:spacing w:before="80" w:after="40"/>
                            <w:rPr>
                              <w:caps/>
                              <w:color w:val="5B9BD5" w:themeColor="accent5"/>
                              <w:sz w:val="24"/>
                              <w:szCs w:val="24"/>
                            </w:rPr>
                          </w:pPr>
                          <w:r>
                            <w:rPr>
                              <w:caps/>
                              <w:color w:val="5B9BD5" w:themeColor="accent5"/>
                              <w:sz w:val="24"/>
                              <w:szCs w:val="24"/>
                            </w:rPr>
                            <w:t>CIRO LIMA SILVA</w:t>
                          </w:r>
                        </w:p>
                        <w:p w14:paraId="1C2F5296" w14:textId="7307AF84" w:rsidR="00CB2FF5" w:rsidRDefault="00CB2FF5" w:rsidP="00CB2FF5">
                          <w:pPr>
                            <w:pStyle w:val="SemEspaamento"/>
                            <w:spacing w:before="80" w:after="40"/>
                            <w:rPr>
                              <w:caps/>
                              <w:color w:val="5B9BD5" w:themeColor="accent5"/>
                              <w:sz w:val="24"/>
                              <w:szCs w:val="24"/>
                            </w:rPr>
                          </w:pPr>
                          <w:r>
                            <w:rPr>
                              <w:caps/>
                              <w:color w:val="5B9BD5" w:themeColor="accent5"/>
                              <w:sz w:val="24"/>
                              <w:szCs w:val="24"/>
                            </w:rPr>
                            <w:t xml:space="preserve">cONTADOR GERAL DO </w:t>
                          </w:r>
                          <w:r w:rsidR="00B43B48">
                            <w:rPr>
                              <w:caps/>
                              <w:color w:val="5B9BD5" w:themeColor="accent5"/>
                              <w:sz w:val="24"/>
                              <w:szCs w:val="24"/>
                            </w:rPr>
                            <w:t>INSTITUTO FEDERAL DO PIAUÍ</w:t>
                          </w:r>
                        </w:p>
                        <w:p w14:paraId="08E553BE" w14:textId="47056173" w:rsidR="00B43B48" w:rsidRDefault="00B43B48" w:rsidP="00CB2FF5">
                          <w:pPr>
                            <w:pStyle w:val="SemEspaamento"/>
                            <w:spacing w:before="80" w:after="40"/>
                            <w:rPr>
                              <w:caps/>
                              <w:color w:val="5B9BD5" w:themeColor="accent5"/>
                              <w:sz w:val="24"/>
                              <w:szCs w:val="24"/>
                            </w:rPr>
                          </w:pPr>
                          <w:r>
                            <w:rPr>
                              <w:caps/>
                              <w:color w:val="5B9BD5" w:themeColor="accent5"/>
                              <w:sz w:val="24"/>
                              <w:szCs w:val="24"/>
                            </w:rPr>
                            <w:t>CRC</w:t>
                          </w:r>
                          <w:r w:rsidR="00661265">
                            <w:rPr>
                              <w:caps/>
                              <w:color w:val="5B9BD5" w:themeColor="accent5"/>
                              <w:sz w:val="24"/>
                              <w:szCs w:val="24"/>
                            </w:rPr>
                            <w:t xml:space="preserve"> - pi </w:t>
                          </w:r>
                          <w:r w:rsidR="00661265" w:rsidRPr="00661265">
                            <w:rPr>
                              <w:caps/>
                              <w:color w:val="5B9BD5" w:themeColor="accent5"/>
                              <w:sz w:val="24"/>
                              <w:szCs w:val="24"/>
                            </w:rPr>
                            <w:t>006698/O-9</w:t>
                          </w: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34235B21" wp14:editId="4B6BC061">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2" name="Retângulo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Ano"/>
                                  <w:tag w:val=""/>
                                  <w:id w:val="-785116381"/>
                                  <w:dataBinding w:prefixMappings="xmlns:ns0='http://schemas.microsoft.com/office/2006/coverPageProps' " w:xpath="/ns0:CoverPageProperties[1]/ns0:PublishDate[1]" w:storeItemID="{55AF091B-3C7A-41E3-B477-F2FDAA23CFDA}"/>
                                  <w:date w:fullDate="2024-01-01T00:00:00Z">
                                    <w:dateFormat w:val="yyyy"/>
                                    <w:lid w:val="pt-BR"/>
                                    <w:storeMappedDataAs w:val="dateTime"/>
                                    <w:calendar w:val="gregorian"/>
                                  </w:date>
                                </w:sdtPr>
                                <w:sdtEndPr/>
                                <w:sdtContent>
                                  <w:p w14:paraId="71F36D40" w14:textId="5D64200F" w:rsidR="00CB2FF5" w:rsidRDefault="00901E1A" w:rsidP="00CB2FF5">
                                    <w:pPr>
                                      <w:pStyle w:val="SemEspaamento"/>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4235B21" id="Retângulo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Ano"/>
                            <w:tag w:val=""/>
                            <w:id w:val="-785116381"/>
                            <w:dataBinding w:prefixMappings="xmlns:ns0='http://schemas.microsoft.com/office/2006/coverPageProps' " w:xpath="/ns0:CoverPageProperties[1]/ns0:PublishDate[1]" w:storeItemID="{55AF091B-3C7A-41E3-B477-F2FDAA23CFDA}"/>
                            <w:date w:fullDate="2024-01-01T00:00:00Z">
                              <w:dateFormat w:val="yyyy"/>
                              <w:lid w:val="pt-BR"/>
                              <w:storeMappedDataAs w:val="dateTime"/>
                              <w:calendar w:val="gregorian"/>
                            </w:date>
                          </w:sdtPr>
                          <w:sdtEndPr/>
                          <w:sdtContent>
                            <w:p w14:paraId="71F36D40" w14:textId="5D64200F" w:rsidR="00CB2FF5" w:rsidRDefault="00901E1A" w:rsidP="00CB2FF5">
                              <w:pPr>
                                <w:pStyle w:val="SemEspaamento"/>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Pr>
              <w:b/>
              <w:bCs/>
              <w:color w:val="000000"/>
            </w:rPr>
            <w:br w:type="page"/>
          </w:r>
        </w:p>
      </w:sdtContent>
    </w:sdt>
    <w:p w14:paraId="7B455E58" w14:textId="77777777" w:rsidR="00CB2FF5" w:rsidRPr="00F02ABE" w:rsidRDefault="00CB2FF5" w:rsidP="00CB2FF5">
      <w:pPr>
        <w:pStyle w:val="NormalWeb"/>
        <w:shd w:val="clear" w:color="auto" w:fill="FFFFFF"/>
        <w:jc w:val="center"/>
        <w:rPr>
          <w:color w:val="333333"/>
        </w:rPr>
      </w:pPr>
      <w:r w:rsidRPr="00F02ABE">
        <w:rPr>
          <w:rFonts w:eastAsia="Calibri"/>
          <w:b/>
          <w:noProof/>
          <w:lang w:eastAsia="en-US"/>
        </w:rPr>
        <w:lastRenderedPageBreak/>
        <w:drawing>
          <wp:inline distT="0" distB="0" distL="0" distR="0" wp14:anchorId="7FC01656" wp14:editId="0725DDED">
            <wp:extent cx="952500" cy="9429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p>
    <w:p w14:paraId="2F415174" w14:textId="77777777" w:rsidR="00CB2FF5" w:rsidRPr="00F02ABE" w:rsidRDefault="00CB2FF5" w:rsidP="00CB2FF5">
      <w:pPr>
        <w:pStyle w:val="Cabealho"/>
        <w:shd w:val="clear" w:color="auto" w:fill="FFFFFF"/>
        <w:jc w:val="center"/>
        <w:rPr>
          <w:rFonts w:ascii="Times New Roman" w:hAnsi="Times New Roman"/>
          <w:color w:val="333333"/>
          <w:sz w:val="24"/>
          <w:szCs w:val="24"/>
        </w:rPr>
      </w:pPr>
      <w:r w:rsidRPr="00F02ABE">
        <w:rPr>
          <w:rFonts w:ascii="Times New Roman" w:hAnsi="Times New Roman"/>
          <w:color w:val="333333"/>
          <w:sz w:val="24"/>
          <w:szCs w:val="24"/>
        </w:rPr>
        <w:t>Ministério da Educação</w:t>
      </w:r>
    </w:p>
    <w:p w14:paraId="77DE8FCD" w14:textId="77777777" w:rsidR="00CB2FF5" w:rsidRPr="00F02ABE" w:rsidRDefault="00CB2FF5" w:rsidP="00CB2FF5">
      <w:pPr>
        <w:pStyle w:val="Cabealho"/>
        <w:shd w:val="clear" w:color="auto" w:fill="FFFFFF"/>
        <w:jc w:val="center"/>
        <w:rPr>
          <w:rFonts w:ascii="Times New Roman" w:hAnsi="Times New Roman"/>
          <w:color w:val="333333"/>
          <w:sz w:val="24"/>
          <w:szCs w:val="24"/>
        </w:rPr>
      </w:pPr>
      <w:r w:rsidRPr="00F02ABE">
        <w:rPr>
          <w:rFonts w:ascii="Times New Roman" w:hAnsi="Times New Roman"/>
          <w:color w:val="333333"/>
          <w:sz w:val="24"/>
          <w:szCs w:val="24"/>
        </w:rPr>
        <w:t>Secretaria de Educação Profissional e Tecnológica</w:t>
      </w:r>
    </w:p>
    <w:p w14:paraId="303FA24F" w14:textId="77777777" w:rsidR="00CB2FF5" w:rsidRPr="00F02ABE" w:rsidRDefault="00CB2FF5" w:rsidP="00CB2FF5">
      <w:pPr>
        <w:pStyle w:val="Cabealho"/>
        <w:shd w:val="clear" w:color="auto" w:fill="FFFFFF"/>
        <w:jc w:val="center"/>
        <w:rPr>
          <w:rFonts w:ascii="Times New Roman" w:hAnsi="Times New Roman"/>
          <w:color w:val="333333"/>
          <w:sz w:val="24"/>
          <w:szCs w:val="24"/>
        </w:rPr>
      </w:pPr>
      <w:r w:rsidRPr="00F02ABE">
        <w:rPr>
          <w:rFonts w:ascii="Times New Roman" w:hAnsi="Times New Roman"/>
          <w:color w:val="333333"/>
          <w:sz w:val="24"/>
          <w:szCs w:val="24"/>
        </w:rPr>
        <w:t>Instituto Federal de Educação, Ciência e Tecnologia do Piauí</w:t>
      </w:r>
    </w:p>
    <w:p w14:paraId="14428DD7" w14:textId="77777777" w:rsidR="00CB2FF5" w:rsidRPr="00F02ABE" w:rsidRDefault="00CB2FF5" w:rsidP="00CB2FF5">
      <w:pPr>
        <w:pStyle w:val="Cabealho"/>
        <w:shd w:val="clear" w:color="auto" w:fill="FFFFFF"/>
        <w:jc w:val="center"/>
        <w:rPr>
          <w:rFonts w:ascii="Times New Roman" w:hAnsi="Times New Roman"/>
          <w:color w:val="333333"/>
          <w:sz w:val="24"/>
          <w:szCs w:val="24"/>
        </w:rPr>
      </w:pPr>
      <w:r w:rsidRPr="00F02ABE">
        <w:rPr>
          <w:rFonts w:ascii="Times New Roman" w:hAnsi="Times New Roman"/>
          <w:color w:val="333333"/>
          <w:sz w:val="24"/>
          <w:szCs w:val="24"/>
        </w:rPr>
        <w:t>IFPI</w:t>
      </w:r>
    </w:p>
    <w:p w14:paraId="58481C1D" w14:textId="77777777" w:rsidR="00CB2FF5" w:rsidRPr="00F02ABE" w:rsidRDefault="00CB2FF5" w:rsidP="00CB2FF5">
      <w:pPr>
        <w:pStyle w:val="Cabealho"/>
        <w:shd w:val="clear" w:color="auto" w:fill="FFFFFF"/>
        <w:jc w:val="center"/>
        <w:rPr>
          <w:rFonts w:ascii="Times New Roman" w:hAnsi="Times New Roman"/>
          <w:color w:val="333333"/>
          <w:sz w:val="24"/>
          <w:szCs w:val="24"/>
        </w:rPr>
      </w:pPr>
      <w:r w:rsidRPr="00F02ABE">
        <w:rPr>
          <w:rStyle w:val="msoheader0"/>
          <w:rFonts w:ascii="Times New Roman" w:hAnsi="Times New Roman"/>
          <w:color w:val="333333"/>
          <w:sz w:val="24"/>
          <w:szCs w:val="24"/>
        </w:rPr>
        <w:t>AV. JÂNIO QUADROS, 330, Santa Isabel, TERESINA / PI, CEP 64053-390</w:t>
      </w:r>
    </w:p>
    <w:p w14:paraId="616B686A" w14:textId="520F3B2C" w:rsidR="00CB2FF5" w:rsidRPr="00F02ABE" w:rsidRDefault="00CB2FF5" w:rsidP="00CB2FF5">
      <w:pPr>
        <w:pStyle w:val="Cabealho"/>
        <w:shd w:val="clear" w:color="auto" w:fill="FFFFFF"/>
        <w:jc w:val="center"/>
        <w:rPr>
          <w:rFonts w:ascii="Times New Roman" w:hAnsi="Times New Roman"/>
          <w:color w:val="333333"/>
          <w:sz w:val="24"/>
          <w:szCs w:val="24"/>
        </w:rPr>
      </w:pPr>
      <w:r w:rsidRPr="00F02ABE">
        <w:rPr>
          <w:rStyle w:val="msoheader0"/>
          <w:rFonts w:ascii="Times New Roman" w:hAnsi="Times New Roman"/>
          <w:color w:val="333333"/>
          <w:sz w:val="24"/>
          <w:szCs w:val="24"/>
        </w:rPr>
        <w:t xml:space="preserve">Fone: </w:t>
      </w:r>
      <w:r w:rsidRPr="00F02ABE">
        <w:rPr>
          <w:rStyle w:val="msoheader0"/>
          <w:rFonts w:ascii="Times New Roman" w:hAnsi="Times New Roman"/>
          <w:color w:val="333333"/>
          <w:sz w:val="24"/>
          <w:szCs w:val="24"/>
          <w:lang w:val="pt-BR"/>
        </w:rPr>
        <w:t>(86) 3131-14</w:t>
      </w:r>
      <w:r w:rsidR="001C5165">
        <w:rPr>
          <w:rStyle w:val="msoheader0"/>
          <w:rFonts w:ascii="Times New Roman" w:hAnsi="Times New Roman"/>
          <w:color w:val="333333"/>
          <w:sz w:val="24"/>
          <w:szCs w:val="24"/>
          <w:lang w:val="pt-BR"/>
        </w:rPr>
        <w:t>4</w:t>
      </w:r>
      <w:r w:rsidRPr="00F02ABE">
        <w:rPr>
          <w:rStyle w:val="msoheader0"/>
          <w:rFonts w:ascii="Times New Roman" w:hAnsi="Times New Roman"/>
          <w:color w:val="333333"/>
          <w:sz w:val="24"/>
          <w:szCs w:val="24"/>
          <w:lang w:val="pt-BR"/>
        </w:rPr>
        <w:t>1</w:t>
      </w:r>
      <w:r w:rsidRPr="00F02ABE">
        <w:rPr>
          <w:rStyle w:val="msoheader0"/>
          <w:rFonts w:ascii="Times New Roman" w:hAnsi="Times New Roman"/>
          <w:color w:val="333333"/>
          <w:sz w:val="24"/>
          <w:szCs w:val="24"/>
        </w:rPr>
        <w:t> Site: </w:t>
      </w:r>
      <w:hyperlink r:id="rId10" w:history="1">
        <w:r w:rsidRPr="00F02ABE">
          <w:rPr>
            <w:rStyle w:val="Hyperlink"/>
            <w:rFonts w:ascii="Times New Roman" w:hAnsi="Times New Roman"/>
            <w:color w:val="0782C1"/>
            <w:sz w:val="24"/>
            <w:szCs w:val="24"/>
          </w:rPr>
          <w:t>www.ifpi.edu.br</w:t>
        </w:r>
      </w:hyperlink>
    </w:p>
    <w:p w14:paraId="70918937" w14:textId="77777777" w:rsidR="00CB2FF5" w:rsidRPr="00F02ABE" w:rsidRDefault="00CB2FF5" w:rsidP="00CB2FF5">
      <w:pPr>
        <w:spacing w:after="0" w:line="240" w:lineRule="auto"/>
        <w:jc w:val="center"/>
        <w:rPr>
          <w:rFonts w:ascii="Times New Roman" w:hAnsi="Times New Roman"/>
          <w:b/>
          <w:sz w:val="24"/>
          <w:szCs w:val="24"/>
        </w:rPr>
      </w:pPr>
    </w:p>
    <w:p w14:paraId="46564704" w14:textId="77777777" w:rsidR="00D32ABB" w:rsidRDefault="00D32ABB" w:rsidP="00CB2FF5">
      <w:pPr>
        <w:spacing w:after="0" w:line="240" w:lineRule="auto"/>
        <w:jc w:val="center"/>
        <w:rPr>
          <w:rFonts w:ascii="Times New Roman" w:hAnsi="Times New Roman"/>
          <w:b/>
          <w:sz w:val="24"/>
          <w:szCs w:val="24"/>
        </w:rPr>
      </w:pPr>
    </w:p>
    <w:p w14:paraId="1A49F39A" w14:textId="0A42F8FA" w:rsidR="00CB2FF5" w:rsidRDefault="00CB2FF5" w:rsidP="00CB2FF5">
      <w:pPr>
        <w:spacing w:after="0" w:line="240" w:lineRule="auto"/>
        <w:jc w:val="center"/>
        <w:rPr>
          <w:rFonts w:ascii="Times New Roman" w:hAnsi="Times New Roman"/>
          <w:b/>
          <w:sz w:val="24"/>
          <w:szCs w:val="24"/>
        </w:rPr>
      </w:pPr>
      <w:r w:rsidRPr="00F02ABE">
        <w:rPr>
          <w:rFonts w:ascii="Times New Roman" w:hAnsi="Times New Roman"/>
          <w:b/>
          <w:sz w:val="24"/>
          <w:szCs w:val="24"/>
        </w:rPr>
        <w:t xml:space="preserve">RELATÓRIO CONTÁBIL - </w:t>
      </w:r>
      <w:r w:rsidR="008D615A">
        <w:rPr>
          <w:rFonts w:ascii="Times New Roman" w:hAnsi="Times New Roman"/>
          <w:b/>
          <w:sz w:val="24"/>
          <w:szCs w:val="24"/>
        </w:rPr>
        <w:t>4</w:t>
      </w:r>
      <w:r w:rsidRPr="00F02ABE">
        <w:rPr>
          <w:rFonts w:ascii="Times New Roman" w:hAnsi="Times New Roman"/>
          <w:b/>
          <w:sz w:val="24"/>
          <w:szCs w:val="24"/>
        </w:rPr>
        <w:t>º TRIMESTRE DE 202</w:t>
      </w:r>
      <w:r>
        <w:rPr>
          <w:rFonts w:ascii="Times New Roman" w:hAnsi="Times New Roman"/>
          <w:b/>
          <w:sz w:val="24"/>
          <w:szCs w:val="24"/>
        </w:rPr>
        <w:t>4</w:t>
      </w:r>
    </w:p>
    <w:p w14:paraId="22F3458C" w14:textId="77777777" w:rsidR="006D6AD9" w:rsidRDefault="006D6AD9" w:rsidP="00CB2FF5">
      <w:pPr>
        <w:spacing w:after="0" w:line="240" w:lineRule="auto"/>
        <w:jc w:val="center"/>
        <w:rPr>
          <w:rFonts w:ascii="Times New Roman" w:hAnsi="Times New Roman"/>
          <w:b/>
          <w:sz w:val="24"/>
          <w:szCs w:val="24"/>
        </w:rPr>
      </w:pPr>
    </w:p>
    <w:p w14:paraId="7F6AD759" w14:textId="77777777" w:rsidR="008D615A" w:rsidRDefault="008D615A" w:rsidP="00CB2FF5">
      <w:pPr>
        <w:spacing w:after="0" w:line="240" w:lineRule="auto"/>
        <w:jc w:val="center"/>
        <w:rPr>
          <w:rFonts w:ascii="Times New Roman" w:hAnsi="Times New Roman"/>
          <w:b/>
          <w:sz w:val="24"/>
          <w:szCs w:val="24"/>
        </w:rPr>
      </w:pPr>
    </w:p>
    <w:tbl>
      <w:tblPr>
        <w:tblW w:w="9227" w:type="dxa"/>
        <w:tblInd w:w="2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7"/>
        <w:gridCol w:w="3703"/>
        <w:gridCol w:w="778"/>
        <w:gridCol w:w="588"/>
        <w:gridCol w:w="2101"/>
      </w:tblGrid>
      <w:tr w:rsidR="008D615A" w:rsidRPr="00F02ABE" w14:paraId="54557CC3" w14:textId="77777777" w:rsidTr="00F411DE">
        <w:trPr>
          <w:trHeight w:val="401"/>
        </w:trPr>
        <w:tc>
          <w:tcPr>
            <w:tcW w:w="9227" w:type="dxa"/>
            <w:gridSpan w:val="5"/>
            <w:shd w:val="clear" w:color="auto" w:fill="F2F2F2"/>
            <w:noWrap/>
            <w:vAlign w:val="center"/>
            <w:hideMark/>
          </w:tcPr>
          <w:p w14:paraId="0F79F26A" w14:textId="77777777" w:rsidR="008D615A" w:rsidRPr="00F02ABE" w:rsidRDefault="008D615A" w:rsidP="00F411DE">
            <w:pPr>
              <w:tabs>
                <w:tab w:val="left" w:pos="3119"/>
              </w:tabs>
              <w:spacing w:after="0"/>
              <w:jc w:val="center"/>
              <w:rPr>
                <w:rFonts w:ascii="Times New Roman" w:hAnsi="Times New Roman"/>
                <w:b/>
                <w:caps/>
                <w:sz w:val="24"/>
                <w:szCs w:val="24"/>
              </w:rPr>
            </w:pPr>
            <w:r w:rsidRPr="00F02ABE">
              <w:rPr>
                <w:rFonts w:ascii="Times New Roman" w:hAnsi="Times New Roman"/>
                <w:b/>
                <w:sz w:val="24"/>
                <w:szCs w:val="24"/>
              </w:rPr>
              <w:t>DECLARAÇÃO DO CONTADOR</w:t>
            </w:r>
          </w:p>
        </w:tc>
      </w:tr>
      <w:tr w:rsidR="008D615A" w:rsidRPr="00F02ABE" w14:paraId="06B822F5" w14:textId="77777777" w:rsidTr="00F411DE">
        <w:trPr>
          <w:trHeight w:val="401"/>
        </w:trPr>
        <w:tc>
          <w:tcPr>
            <w:tcW w:w="7126" w:type="dxa"/>
            <w:gridSpan w:val="4"/>
            <w:tcBorders>
              <w:bottom w:val="single" w:sz="4" w:space="0" w:color="auto"/>
            </w:tcBorders>
            <w:shd w:val="clear" w:color="auto" w:fill="F2F2F2"/>
            <w:noWrap/>
            <w:vAlign w:val="center"/>
            <w:hideMark/>
          </w:tcPr>
          <w:p w14:paraId="6EA01DC7" w14:textId="77777777" w:rsidR="008D615A" w:rsidRPr="00F02ABE" w:rsidRDefault="008D615A" w:rsidP="00F411DE">
            <w:pPr>
              <w:tabs>
                <w:tab w:val="left" w:pos="3119"/>
              </w:tabs>
              <w:spacing w:after="0"/>
              <w:jc w:val="center"/>
              <w:rPr>
                <w:rFonts w:ascii="Times New Roman" w:hAnsi="Times New Roman"/>
                <w:sz w:val="24"/>
                <w:szCs w:val="24"/>
              </w:rPr>
            </w:pPr>
            <w:r w:rsidRPr="00F02ABE">
              <w:rPr>
                <w:rFonts w:ascii="Times New Roman" w:hAnsi="Times New Roman"/>
                <w:b/>
                <w:sz w:val="24"/>
                <w:szCs w:val="24"/>
              </w:rPr>
              <w:t>Código e Denominação Completa do Órgão</w:t>
            </w:r>
          </w:p>
        </w:tc>
        <w:tc>
          <w:tcPr>
            <w:tcW w:w="2101" w:type="dxa"/>
            <w:tcBorders>
              <w:bottom w:val="single" w:sz="4" w:space="0" w:color="auto"/>
            </w:tcBorders>
            <w:shd w:val="clear" w:color="auto" w:fill="F2F2F2"/>
            <w:vAlign w:val="center"/>
          </w:tcPr>
          <w:p w14:paraId="0FA34C70" w14:textId="77777777" w:rsidR="008D615A" w:rsidRPr="00F02ABE" w:rsidRDefault="008D615A" w:rsidP="00F411DE">
            <w:pPr>
              <w:tabs>
                <w:tab w:val="left" w:pos="3119"/>
              </w:tabs>
              <w:spacing w:after="0"/>
              <w:jc w:val="center"/>
              <w:rPr>
                <w:rFonts w:ascii="Times New Roman" w:hAnsi="Times New Roman"/>
                <w:sz w:val="24"/>
                <w:szCs w:val="24"/>
              </w:rPr>
            </w:pPr>
            <w:r w:rsidRPr="00F02ABE">
              <w:rPr>
                <w:rFonts w:ascii="Times New Roman" w:hAnsi="Times New Roman"/>
                <w:b/>
                <w:sz w:val="24"/>
                <w:szCs w:val="24"/>
              </w:rPr>
              <w:t>Código da UG Setorial</w:t>
            </w:r>
          </w:p>
        </w:tc>
      </w:tr>
      <w:tr w:rsidR="008D615A" w:rsidRPr="00F02ABE" w14:paraId="0831A19F" w14:textId="77777777" w:rsidTr="00F411DE">
        <w:trPr>
          <w:trHeight w:val="411"/>
        </w:trPr>
        <w:tc>
          <w:tcPr>
            <w:tcW w:w="7126" w:type="dxa"/>
            <w:gridSpan w:val="4"/>
            <w:tcBorders>
              <w:bottom w:val="single" w:sz="4" w:space="0" w:color="auto"/>
            </w:tcBorders>
            <w:shd w:val="clear" w:color="auto" w:fill="FFFFFF"/>
            <w:noWrap/>
            <w:vAlign w:val="center"/>
            <w:hideMark/>
          </w:tcPr>
          <w:p w14:paraId="6121C24E" w14:textId="77777777" w:rsidR="008D615A" w:rsidRPr="00F02ABE" w:rsidRDefault="008D615A" w:rsidP="00F411DE">
            <w:pPr>
              <w:tabs>
                <w:tab w:val="left" w:pos="3119"/>
              </w:tabs>
              <w:spacing w:after="0"/>
              <w:jc w:val="center"/>
              <w:rPr>
                <w:rFonts w:ascii="Times New Roman" w:hAnsi="Times New Roman"/>
                <w:sz w:val="24"/>
                <w:szCs w:val="24"/>
              </w:rPr>
            </w:pPr>
            <w:r w:rsidRPr="00F02ABE">
              <w:rPr>
                <w:rFonts w:ascii="Times New Roman" w:hAnsi="Times New Roman"/>
                <w:sz w:val="24"/>
                <w:szCs w:val="24"/>
              </w:rPr>
              <w:t>26431 - INSTITUTO FEDERAL DO PIAUÍ</w:t>
            </w:r>
          </w:p>
        </w:tc>
        <w:tc>
          <w:tcPr>
            <w:tcW w:w="2101" w:type="dxa"/>
            <w:tcBorders>
              <w:bottom w:val="single" w:sz="4" w:space="0" w:color="auto"/>
            </w:tcBorders>
            <w:shd w:val="clear" w:color="auto" w:fill="FFFFFF"/>
            <w:vAlign w:val="center"/>
          </w:tcPr>
          <w:p w14:paraId="6728181B" w14:textId="77777777" w:rsidR="008D615A" w:rsidRPr="00F02ABE" w:rsidRDefault="008D615A" w:rsidP="00F411DE">
            <w:pPr>
              <w:tabs>
                <w:tab w:val="left" w:pos="3119"/>
              </w:tabs>
              <w:spacing w:after="0"/>
              <w:jc w:val="center"/>
              <w:rPr>
                <w:rFonts w:ascii="Times New Roman" w:hAnsi="Times New Roman"/>
                <w:sz w:val="24"/>
                <w:szCs w:val="24"/>
              </w:rPr>
            </w:pPr>
            <w:r w:rsidRPr="00F02ABE">
              <w:rPr>
                <w:rFonts w:ascii="Times New Roman" w:hAnsi="Times New Roman"/>
                <w:sz w:val="24"/>
                <w:szCs w:val="24"/>
              </w:rPr>
              <w:t>158146</w:t>
            </w:r>
          </w:p>
        </w:tc>
      </w:tr>
      <w:tr w:rsidR="008D615A" w:rsidRPr="00F02ABE" w14:paraId="179ACE6B" w14:textId="77777777" w:rsidTr="00F411DE">
        <w:trPr>
          <w:trHeight w:val="401"/>
        </w:trPr>
        <w:tc>
          <w:tcPr>
            <w:tcW w:w="9227" w:type="dxa"/>
            <w:gridSpan w:val="5"/>
            <w:tcBorders>
              <w:top w:val="single" w:sz="4" w:space="0" w:color="auto"/>
            </w:tcBorders>
            <w:shd w:val="clear" w:color="auto" w:fill="BFBFBF"/>
            <w:noWrap/>
            <w:vAlign w:val="center"/>
            <w:hideMark/>
          </w:tcPr>
          <w:p w14:paraId="7312141F" w14:textId="77777777" w:rsidR="008D615A" w:rsidRPr="00F02ABE" w:rsidRDefault="008D615A" w:rsidP="00F411DE">
            <w:pPr>
              <w:tabs>
                <w:tab w:val="left" w:pos="3119"/>
              </w:tabs>
              <w:jc w:val="center"/>
              <w:rPr>
                <w:rFonts w:ascii="Times New Roman" w:hAnsi="Times New Roman"/>
                <w:b/>
                <w:sz w:val="24"/>
                <w:szCs w:val="24"/>
              </w:rPr>
            </w:pPr>
          </w:p>
        </w:tc>
      </w:tr>
      <w:tr w:rsidR="008D615A" w:rsidRPr="00F02ABE" w14:paraId="72D67FC5" w14:textId="77777777" w:rsidTr="00F411DE">
        <w:trPr>
          <w:trHeight w:val="3779"/>
        </w:trPr>
        <w:tc>
          <w:tcPr>
            <w:tcW w:w="9227" w:type="dxa"/>
            <w:gridSpan w:val="5"/>
            <w:shd w:val="clear" w:color="auto" w:fill="auto"/>
            <w:noWrap/>
            <w:vAlign w:val="bottom"/>
            <w:hideMark/>
          </w:tcPr>
          <w:p w14:paraId="28ED9ABE" w14:textId="77777777" w:rsidR="008D615A" w:rsidRPr="00F02ABE" w:rsidRDefault="008D615A" w:rsidP="00F411DE">
            <w:pPr>
              <w:tabs>
                <w:tab w:val="left" w:pos="3119"/>
              </w:tabs>
              <w:spacing w:after="120"/>
              <w:ind w:firstLine="1134"/>
              <w:rPr>
                <w:rFonts w:ascii="Times New Roman" w:hAnsi="Times New Roman"/>
                <w:sz w:val="24"/>
                <w:szCs w:val="24"/>
              </w:rPr>
            </w:pPr>
          </w:p>
          <w:p w14:paraId="3E562385" w14:textId="6A960676" w:rsidR="008D615A" w:rsidRPr="00F02ABE" w:rsidRDefault="008D615A" w:rsidP="00F411DE">
            <w:pPr>
              <w:tabs>
                <w:tab w:val="left" w:pos="3119"/>
              </w:tabs>
              <w:spacing w:after="120"/>
              <w:ind w:firstLine="1134"/>
              <w:jc w:val="both"/>
              <w:rPr>
                <w:rFonts w:ascii="Times New Roman" w:hAnsi="Times New Roman"/>
                <w:sz w:val="24"/>
                <w:szCs w:val="24"/>
              </w:rPr>
            </w:pPr>
            <w:r w:rsidRPr="00F02ABE">
              <w:rPr>
                <w:rFonts w:ascii="Times New Roman" w:hAnsi="Times New Roman"/>
                <w:sz w:val="24"/>
                <w:szCs w:val="24"/>
              </w:rPr>
              <w:t>De acordo com análise realizada nos demonstrativos, balancete e auditores contábeis (CONDESAUD), declaro que os demonstrativos contábeis constantes do SIAFI (</w:t>
            </w:r>
            <w:r w:rsidRPr="00F02ABE">
              <w:rPr>
                <w:rFonts w:ascii="Times New Roman" w:eastAsia="Times New Roman" w:hAnsi="Times New Roman"/>
                <w:sz w:val="24"/>
                <w:szCs w:val="24"/>
                <w:lang w:eastAsia="pt-BR"/>
              </w:rPr>
              <w:t>Balanço Orçamentário, Financeiro, Patrimonial, Demonstração das Variações Patrimoniais e do Fluxo de Caixa</w:t>
            </w:r>
            <w:r w:rsidRPr="00F02ABE">
              <w:rPr>
                <w:rFonts w:ascii="Times New Roman" w:hAnsi="Times New Roman"/>
                <w:sz w:val="24"/>
                <w:szCs w:val="24"/>
              </w:rPr>
              <w:t>), regidos pela Lei n.º 4.320/1964 e pela Norma Brasileira de Contabilidade Aplicada ao Setor Público NBC T 16.6 aprovada pela Resolução CFC nº 1.133/2008, relativas ao exercício de 202</w:t>
            </w:r>
            <w:r w:rsidR="00302CB5">
              <w:rPr>
                <w:rFonts w:ascii="Times New Roman" w:hAnsi="Times New Roman"/>
                <w:sz w:val="24"/>
                <w:szCs w:val="24"/>
              </w:rPr>
              <w:t>4</w:t>
            </w:r>
            <w:r w:rsidRPr="00F02ABE">
              <w:rPr>
                <w:rFonts w:ascii="Times New Roman" w:hAnsi="Times New Roman"/>
                <w:sz w:val="24"/>
                <w:szCs w:val="24"/>
              </w:rPr>
              <w:t xml:space="preserve"> do Órgão 26431, refletem adequada e integralmente a situação orçamentária, financeira e patrimonial, </w:t>
            </w:r>
            <w:r w:rsidRPr="00F02ABE">
              <w:rPr>
                <w:rFonts w:ascii="Times New Roman" w:hAnsi="Times New Roman"/>
                <w:b/>
                <w:sz w:val="24"/>
                <w:szCs w:val="24"/>
              </w:rPr>
              <w:t>EXCETO</w:t>
            </w:r>
            <w:r w:rsidRPr="00F02ABE">
              <w:rPr>
                <w:rFonts w:ascii="Times New Roman" w:hAnsi="Times New Roman"/>
                <w:sz w:val="24"/>
                <w:szCs w:val="24"/>
              </w:rPr>
              <w:t xml:space="preserve"> no tocante a:</w:t>
            </w:r>
          </w:p>
          <w:p w14:paraId="099D7D83" w14:textId="498A506C" w:rsidR="008D615A" w:rsidRPr="00F02ABE" w:rsidRDefault="008D615A" w:rsidP="00F411DE">
            <w:pPr>
              <w:tabs>
                <w:tab w:val="left" w:pos="3119"/>
              </w:tabs>
              <w:spacing w:after="120"/>
              <w:ind w:firstLine="1134"/>
              <w:rPr>
                <w:rFonts w:ascii="Times New Roman" w:hAnsi="Times New Roman"/>
                <w:sz w:val="24"/>
                <w:szCs w:val="24"/>
              </w:rPr>
            </w:pPr>
            <w:r w:rsidRPr="00F02ABE">
              <w:rPr>
                <w:rFonts w:ascii="Times New Roman" w:hAnsi="Times New Roman"/>
                <w:sz w:val="24"/>
                <w:szCs w:val="24"/>
              </w:rPr>
              <w:t xml:space="preserve">a) ao cumprimento do disposto na Norma Brasileira de Contabilidade - NBC 16.9 (Registro Contábil da Depreciação e Amortização) por todas as Unidades Gestoras do Órgão. Não houve depreciação dos bens móveis, que compõem o Ativo Imobilizado, apenas dos bens imóveis que se encontram registrados no SPIUNET; desta maneira os demonstrativos contêm bens superavaliados, não condizentes com a realidade. </w:t>
            </w:r>
            <w:r>
              <w:rPr>
                <w:rFonts w:ascii="Times New Roman" w:hAnsi="Times New Roman"/>
                <w:sz w:val="24"/>
                <w:szCs w:val="24"/>
              </w:rPr>
              <w:t>A amortização do Intangível também não está sendo realizada, pois o IFPI ainda não implantou o SIADS. Na Conformidade Contábil do mês de dezembro de 202</w:t>
            </w:r>
            <w:r w:rsidR="009A4452">
              <w:rPr>
                <w:rFonts w:ascii="Times New Roman" w:hAnsi="Times New Roman"/>
                <w:sz w:val="24"/>
                <w:szCs w:val="24"/>
              </w:rPr>
              <w:t>3</w:t>
            </w:r>
            <w:r>
              <w:rPr>
                <w:rFonts w:ascii="Times New Roman" w:hAnsi="Times New Roman"/>
                <w:sz w:val="24"/>
                <w:szCs w:val="24"/>
              </w:rPr>
              <w:t xml:space="preserve"> foram aplicad</w:t>
            </w:r>
            <w:r w:rsidR="009A4452">
              <w:rPr>
                <w:rFonts w:ascii="Times New Roman" w:hAnsi="Times New Roman"/>
                <w:sz w:val="24"/>
                <w:szCs w:val="24"/>
              </w:rPr>
              <w:t>a</w:t>
            </w:r>
            <w:r>
              <w:rPr>
                <w:rFonts w:ascii="Times New Roman" w:hAnsi="Times New Roman"/>
                <w:sz w:val="24"/>
                <w:szCs w:val="24"/>
              </w:rPr>
              <w:t>s as restrições contábeis 642 e 643.</w:t>
            </w:r>
          </w:p>
          <w:p w14:paraId="79E4B60C" w14:textId="77777777" w:rsidR="008D615A" w:rsidRPr="00F02ABE" w:rsidRDefault="008D615A" w:rsidP="00F411DE">
            <w:pPr>
              <w:tabs>
                <w:tab w:val="left" w:pos="3119"/>
              </w:tabs>
              <w:spacing w:after="120"/>
              <w:ind w:firstLine="1134"/>
              <w:rPr>
                <w:rFonts w:ascii="Times New Roman" w:hAnsi="Times New Roman"/>
                <w:sz w:val="24"/>
                <w:szCs w:val="24"/>
              </w:rPr>
            </w:pPr>
            <w:r w:rsidRPr="00F02ABE">
              <w:rPr>
                <w:rFonts w:ascii="Times New Roman" w:hAnsi="Times New Roman"/>
                <w:sz w:val="24"/>
                <w:szCs w:val="24"/>
              </w:rPr>
              <w:t>b) restrições registradas nas Conformidades Contábeis do órgão mensalmente.</w:t>
            </w:r>
          </w:p>
          <w:p w14:paraId="5628D1AF" w14:textId="77777777" w:rsidR="008D615A" w:rsidRPr="00F02ABE" w:rsidRDefault="008D615A" w:rsidP="00F411DE">
            <w:pPr>
              <w:tabs>
                <w:tab w:val="left" w:pos="3119"/>
              </w:tabs>
              <w:spacing w:after="120"/>
              <w:ind w:firstLine="1134"/>
              <w:rPr>
                <w:rFonts w:ascii="Times New Roman" w:hAnsi="Times New Roman"/>
                <w:sz w:val="24"/>
                <w:szCs w:val="24"/>
              </w:rPr>
            </w:pPr>
            <w:r w:rsidRPr="00F02ABE">
              <w:rPr>
                <w:rFonts w:ascii="Times New Roman" w:hAnsi="Times New Roman"/>
                <w:sz w:val="24"/>
                <w:szCs w:val="24"/>
              </w:rPr>
              <w:t xml:space="preserve">c) falta de Conformidade de Registro de Gestão em algumas Unidades Gestoras que compõem esta UPC. </w:t>
            </w:r>
          </w:p>
          <w:p w14:paraId="770112FE" w14:textId="531398CB" w:rsidR="008D615A" w:rsidRDefault="008D615A" w:rsidP="00F411DE">
            <w:pPr>
              <w:tabs>
                <w:tab w:val="left" w:pos="3119"/>
              </w:tabs>
              <w:spacing w:after="120"/>
              <w:ind w:firstLine="1134"/>
              <w:rPr>
                <w:rFonts w:ascii="Times New Roman" w:hAnsi="Times New Roman"/>
                <w:sz w:val="24"/>
                <w:szCs w:val="24"/>
              </w:rPr>
            </w:pPr>
            <w:r w:rsidRPr="00F02ABE">
              <w:rPr>
                <w:rFonts w:ascii="Times New Roman" w:hAnsi="Times New Roman"/>
                <w:sz w:val="24"/>
                <w:szCs w:val="24"/>
              </w:rPr>
              <w:t xml:space="preserve">d) as restrições relacionadas com as Ordens Bancárias das </w:t>
            </w:r>
            <w:proofErr w:type="spellStart"/>
            <w:r w:rsidRPr="00F02ABE">
              <w:rPr>
                <w:rFonts w:ascii="Times New Roman" w:hAnsi="Times New Roman"/>
                <w:sz w:val="24"/>
                <w:szCs w:val="24"/>
              </w:rPr>
              <w:t>UG’s</w:t>
            </w:r>
            <w:proofErr w:type="spellEnd"/>
            <w:r w:rsidRPr="00F02ABE">
              <w:rPr>
                <w:rFonts w:ascii="Times New Roman" w:hAnsi="Times New Roman"/>
                <w:sz w:val="24"/>
                <w:szCs w:val="24"/>
              </w:rPr>
              <w:t xml:space="preserve"> 158</w:t>
            </w:r>
            <w:r>
              <w:rPr>
                <w:rFonts w:ascii="Times New Roman" w:hAnsi="Times New Roman"/>
                <w:sz w:val="24"/>
                <w:szCs w:val="24"/>
              </w:rPr>
              <w:t>146</w:t>
            </w:r>
            <w:r w:rsidRPr="00F02ABE">
              <w:rPr>
                <w:rFonts w:ascii="Times New Roman" w:hAnsi="Times New Roman"/>
                <w:sz w:val="24"/>
                <w:szCs w:val="24"/>
              </w:rPr>
              <w:t xml:space="preserve"> e 15</w:t>
            </w:r>
            <w:r w:rsidR="0024214C">
              <w:rPr>
                <w:rFonts w:ascii="Times New Roman" w:hAnsi="Times New Roman"/>
                <w:sz w:val="24"/>
                <w:szCs w:val="24"/>
              </w:rPr>
              <w:t>4701</w:t>
            </w:r>
            <w:r w:rsidRPr="00F02ABE">
              <w:rPr>
                <w:rFonts w:ascii="Times New Roman" w:hAnsi="Times New Roman"/>
                <w:sz w:val="24"/>
                <w:szCs w:val="24"/>
              </w:rPr>
              <w:t xml:space="preserve"> foram regularizadas em tempo hábil</w:t>
            </w:r>
            <w:r>
              <w:rPr>
                <w:rFonts w:ascii="Times New Roman" w:hAnsi="Times New Roman"/>
                <w:sz w:val="24"/>
                <w:szCs w:val="24"/>
              </w:rPr>
              <w:t xml:space="preserve"> e não possuem saldo na conta contábil 21.891.36.03 em 202</w:t>
            </w:r>
            <w:r w:rsidR="008F1C6E">
              <w:rPr>
                <w:rFonts w:ascii="Times New Roman" w:hAnsi="Times New Roman"/>
                <w:sz w:val="24"/>
                <w:szCs w:val="24"/>
              </w:rPr>
              <w:t>5</w:t>
            </w:r>
            <w:r w:rsidRPr="00F02ABE">
              <w:rPr>
                <w:rFonts w:ascii="Times New Roman" w:hAnsi="Times New Roman"/>
                <w:sz w:val="24"/>
                <w:szCs w:val="24"/>
              </w:rPr>
              <w:t xml:space="preserve">. </w:t>
            </w:r>
            <w:r>
              <w:rPr>
                <w:rFonts w:ascii="Times New Roman" w:hAnsi="Times New Roman"/>
                <w:sz w:val="24"/>
                <w:szCs w:val="24"/>
              </w:rPr>
              <w:t xml:space="preserve">Existe um saldo na referida conta no Campus de Oeiras - PI, no exercício de 2023, no </w:t>
            </w:r>
            <w:r>
              <w:rPr>
                <w:rFonts w:ascii="Times New Roman" w:hAnsi="Times New Roman"/>
                <w:sz w:val="24"/>
                <w:szCs w:val="24"/>
              </w:rPr>
              <w:lastRenderedPageBreak/>
              <w:t>valor de R$ 150,00, que foi regularizado de forma incorreta e não foi possível a baixa do saldo em tempo hábil, sendo que o mesmo foi baixado em 2024.</w:t>
            </w:r>
          </w:p>
          <w:p w14:paraId="7F42941A" w14:textId="0C6C983C" w:rsidR="008D615A" w:rsidRPr="00F02ABE" w:rsidRDefault="008D615A" w:rsidP="00F411DE">
            <w:pPr>
              <w:tabs>
                <w:tab w:val="left" w:pos="3119"/>
              </w:tabs>
              <w:spacing w:after="120"/>
              <w:ind w:firstLine="1134"/>
              <w:rPr>
                <w:rFonts w:ascii="Times New Roman" w:hAnsi="Times New Roman"/>
                <w:sz w:val="24"/>
                <w:szCs w:val="24"/>
              </w:rPr>
            </w:pPr>
            <w:r w:rsidRPr="00F02ABE">
              <w:rPr>
                <w:rFonts w:ascii="Times New Roman" w:hAnsi="Times New Roman"/>
                <w:sz w:val="24"/>
                <w:szCs w:val="24"/>
              </w:rPr>
              <w:t>A restrição sobre 13º salário que apareceu na Reitoria, também foi paga no exercício de 202</w:t>
            </w:r>
            <w:r w:rsidR="00130491">
              <w:rPr>
                <w:rFonts w:ascii="Times New Roman" w:hAnsi="Times New Roman"/>
                <w:sz w:val="24"/>
                <w:szCs w:val="24"/>
              </w:rPr>
              <w:t>4</w:t>
            </w:r>
            <w:r w:rsidRPr="00F02ABE">
              <w:rPr>
                <w:rFonts w:ascii="Times New Roman" w:hAnsi="Times New Roman"/>
                <w:sz w:val="24"/>
                <w:szCs w:val="24"/>
              </w:rPr>
              <w:t>, e dessa forma o IFPI não possui nenhuma restrição contábil.</w:t>
            </w:r>
          </w:p>
          <w:p w14:paraId="3838B723" w14:textId="77777777" w:rsidR="008D615A" w:rsidRPr="00F02ABE" w:rsidRDefault="008D615A" w:rsidP="00F411DE">
            <w:pPr>
              <w:tabs>
                <w:tab w:val="left" w:pos="3119"/>
              </w:tabs>
              <w:spacing w:after="120"/>
              <w:ind w:firstLine="1134"/>
              <w:rPr>
                <w:rFonts w:ascii="Times New Roman" w:hAnsi="Times New Roman"/>
                <w:sz w:val="24"/>
                <w:szCs w:val="24"/>
              </w:rPr>
            </w:pPr>
            <w:r w:rsidRPr="00F02ABE">
              <w:rPr>
                <w:rFonts w:ascii="Times New Roman" w:hAnsi="Times New Roman"/>
                <w:sz w:val="24"/>
                <w:szCs w:val="24"/>
              </w:rPr>
              <w:t>Estou ciente das responsabilidades civis e profissionais desta declaração.</w:t>
            </w:r>
          </w:p>
        </w:tc>
      </w:tr>
      <w:tr w:rsidR="008D615A" w:rsidRPr="00F02ABE" w14:paraId="78067891" w14:textId="77777777" w:rsidTr="00F411DE">
        <w:trPr>
          <w:trHeight w:val="401"/>
        </w:trPr>
        <w:tc>
          <w:tcPr>
            <w:tcW w:w="2057" w:type="dxa"/>
            <w:shd w:val="clear" w:color="auto" w:fill="D9D9D9"/>
            <w:noWrap/>
            <w:vAlign w:val="center"/>
            <w:hideMark/>
          </w:tcPr>
          <w:p w14:paraId="29F0A267" w14:textId="77777777" w:rsidR="008D615A" w:rsidRPr="00F02ABE" w:rsidRDefault="008D615A" w:rsidP="00F411DE">
            <w:pPr>
              <w:tabs>
                <w:tab w:val="left" w:pos="3119"/>
              </w:tabs>
              <w:spacing w:after="0"/>
              <w:rPr>
                <w:rFonts w:ascii="Times New Roman" w:hAnsi="Times New Roman"/>
                <w:b/>
                <w:sz w:val="24"/>
                <w:szCs w:val="24"/>
              </w:rPr>
            </w:pPr>
            <w:r w:rsidRPr="00F02ABE">
              <w:rPr>
                <w:rFonts w:ascii="Times New Roman" w:hAnsi="Times New Roman"/>
                <w:b/>
                <w:sz w:val="24"/>
                <w:szCs w:val="24"/>
              </w:rPr>
              <w:lastRenderedPageBreak/>
              <w:t>Local</w:t>
            </w:r>
          </w:p>
        </w:tc>
        <w:tc>
          <w:tcPr>
            <w:tcW w:w="3703" w:type="dxa"/>
            <w:tcBorders>
              <w:bottom w:val="single" w:sz="4" w:space="0" w:color="auto"/>
            </w:tcBorders>
            <w:shd w:val="clear" w:color="auto" w:fill="auto"/>
            <w:vAlign w:val="center"/>
          </w:tcPr>
          <w:p w14:paraId="0F930A62" w14:textId="77777777" w:rsidR="008D615A" w:rsidRPr="00F02ABE" w:rsidRDefault="008D615A" w:rsidP="00F411DE">
            <w:pPr>
              <w:tabs>
                <w:tab w:val="left" w:pos="3119"/>
              </w:tabs>
              <w:spacing w:after="0"/>
              <w:rPr>
                <w:rFonts w:ascii="Times New Roman" w:hAnsi="Times New Roman"/>
                <w:b/>
                <w:sz w:val="24"/>
                <w:szCs w:val="24"/>
              </w:rPr>
            </w:pPr>
            <w:r w:rsidRPr="00F02ABE">
              <w:rPr>
                <w:rFonts w:ascii="Times New Roman" w:hAnsi="Times New Roman"/>
                <w:b/>
                <w:sz w:val="24"/>
                <w:szCs w:val="24"/>
              </w:rPr>
              <w:t>TERESINA</w:t>
            </w:r>
          </w:p>
        </w:tc>
        <w:tc>
          <w:tcPr>
            <w:tcW w:w="778" w:type="dxa"/>
            <w:shd w:val="clear" w:color="auto" w:fill="F2F2F2"/>
            <w:vAlign w:val="center"/>
          </w:tcPr>
          <w:p w14:paraId="17021796" w14:textId="77777777" w:rsidR="008D615A" w:rsidRPr="00F02ABE" w:rsidRDefault="008D615A" w:rsidP="00F411DE">
            <w:pPr>
              <w:tabs>
                <w:tab w:val="left" w:pos="3119"/>
              </w:tabs>
              <w:spacing w:after="0"/>
              <w:rPr>
                <w:rFonts w:ascii="Times New Roman" w:hAnsi="Times New Roman"/>
                <w:b/>
                <w:sz w:val="24"/>
                <w:szCs w:val="24"/>
              </w:rPr>
            </w:pPr>
            <w:r w:rsidRPr="00F02ABE">
              <w:rPr>
                <w:rFonts w:ascii="Times New Roman" w:hAnsi="Times New Roman"/>
                <w:b/>
                <w:sz w:val="24"/>
                <w:szCs w:val="24"/>
              </w:rPr>
              <w:t>Data</w:t>
            </w:r>
          </w:p>
        </w:tc>
        <w:tc>
          <w:tcPr>
            <w:tcW w:w="2689" w:type="dxa"/>
            <w:gridSpan w:val="2"/>
            <w:tcBorders>
              <w:bottom w:val="single" w:sz="4" w:space="0" w:color="auto"/>
            </w:tcBorders>
            <w:shd w:val="clear" w:color="auto" w:fill="auto"/>
            <w:vAlign w:val="center"/>
          </w:tcPr>
          <w:p w14:paraId="464FA1FE" w14:textId="2ECE7319" w:rsidR="008D615A" w:rsidRPr="00F02ABE" w:rsidRDefault="00130491" w:rsidP="00F411DE">
            <w:pPr>
              <w:tabs>
                <w:tab w:val="left" w:pos="3119"/>
              </w:tabs>
              <w:spacing w:after="0"/>
              <w:jc w:val="center"/>
              <w:rPr>
                <w:rFonts w:ascii="Times New Roman" w:hAnsi="Times New Roman"/>
                <w:b/>
                <w:sz w:val="24"/>
                <w:szCs w:val="24"/>
              </w:rPr>
            </w:pPr>
            <w:r>
              <w:rPr>
                <w:rFonts w:ascii="Times New Roman" w:hAnsi="Times New Roman"/>
                <w:b/>
                <w:sz w:val="24"/>
                <w:szCs w:val="24"/>
              </w:rPr>
              <w:t>30</w:t>
            </w:r>
            <w:r w:rsidR="008D615A" w:rsidRPr="00F02ABE">
              <w:rPr>
                <w:rFonts w:ascii="Times New Roman" w:hAnsi="Times New Roman"/>
                <w:b/>
                <w:sz w:val="24"/>
                <w:szCs w:val="24"/>
              </w:rPr>
              <w:t>/01/202</w:t>
            </w:r>
            <w:r>
              <w:rPr>
                <w:rFonts w:ascii="Times New Roman" w:hAnsi="Times New Roman"/>
                <w:b/>
                <w:sz w:val="24"/>
                <w:szCs w:val="24"/>
              </w:rPr>
              <w:t>5</w:t>
            </w:r>
          </w:p>
        </w:tc>
      </w:tr>
      <w:tr w:rsidR="008D615A" w:rsidRPr="00F02ABE" w14:paraId="0A17EC42" w14:textId="77777777" w:rsidTr="00F411DE">
        <w:trPr>
          <w:trHeight w:val="401"/>
        </w:trPr>
        <w:tc>
          <w:tcPr>
            <w:tcW w:w="2057" w:type="dxa"/>
            <w:shd w:val="clear" w:color="auto" w:fill="D9D9D9"/>
            <w:noWrap/>
            <w:vAlign w:val="center"/>
            <w:hideMark/>
          </w:tcPr>
          <w:p w14:paraId="2B4C5713" w14:textId="77777777" w:rsidR="008D615A" w:rsidRPr="00F02ABE" w:rsidRDefault="008D615A" w:rsidP="00F411DE">
            <w:pPr>
              <w:tabs>
                <w:tab w:val="left" w:pos="3119"/>
              </w:tabs>
              <w:spacing w:after="0"/>
              <w:rPr>
                <w:rFonts w:ascii="Times New Roman" w:hAnsi="Times New Roman"/>
                <w:b/>
                <w:sz w:val="24"/>
                <w:szCs w:val="24"/>
              </w:rPr>
            </w:pPr>
            <w:r w:rsidRPr="00F02ABE">
              <w:rPr>
                <w:rFonts w:ascii="Times New Roman" w:hAnsi="Times New Roman"/>
                <w:b/>
                <w:sz w:val="24"/>
                <w:szCs w:val="24"/>
              </w:rPr>
              <w:t>Contador Responsável</w:t>
            </w:r>
          </w:p>
        </w:tc>
        <w:tc>
          <w:tcPr>
            <w:tcW w:w="3703" w:type="dxa"/>
            <w:shd w:val="clear" w:color="auto" w:fill="auto"/>
            <w:vAlign w:val="center"/>
          </w:tcPr>
          <w:p w14:paraId="2AB54C3F" w14:textId="77777777" w:rsidR="008D615A" w:rsidRPr="00F02ABE" w:rsidRDefault="008D615A" w:rsidP="00F411DE">
            <w:pPr>
              <w:tabs>
                <w:tab w:val="left" w:pos="3119"/>
              </w:tabs>
              <w:spacing w:after="0"/>
              <w:rPr>
                <w:rFonts w:ascii="Times New Roman" w:hAnsi="Times New Roman"/>
                <w:b/>
                <w:sz w:val="24"/>
                <w:szCs w:val="24"/>
              </w:rPr>
            </w:pPr>
            <w:r w:rsidRPr="00F02ABE">
              <w:rPr>
                <w:rFonts w:ascii="Times New Roman" w:hAnsi="Times New Roman"/>
                <w:b/>
                <w:sz w:val="24"/>
                <w:szCs w:val="24"/>
              </w:rPr>
              <w:t>CIRO LIMA SILVA</w:t>
            </w:r>
          </w:p>
        </w:tc>
        <w:tc>
          <w:tcPr>
            <w:tcW w:w="778" w:type="dxa"/>
            <w:shd w:val="clear" w:color="auto" w:fill="F2F2F2"/>
            <w:vAlign w:val="center"/>
          </w:tcPr>
          <w:p w14:paraId="083AC649" w14:textId="77777777" w:rsidR="008D615A" w:rsidRPr="00F02ABE" w:rsidRDefault="008D615A" w:rsidP="00F411DE">
            <w:pPr>
              <w:tabs>
                <w:tab w:val="left" w:pos="3119"/>
              </w:tabs>
              <w:spacing w:after="0"/>
              <w:rPr>
                <w:rFonts w:ascii="Times New Roman" w:hAnsi="Times New Roman"/>
                <w:b/>
                <w:sz w:val="24"/>
                <w:szCs w:val="24"/>
              </w:rPr>
            </w:pPr>
            <w:r w:rsidRPr="00F02ABE">
              <w:rPr>
                <w:rFonts w:ascii="Times New Roman" w:hAnsi="Times New Roman"/>
                <w:b/>
                <w:sz w:val="24"/>
                <w:szCs w:val="24"/>
              </w:rPr>
              <w:t>CRC nº</w:t>
            </w:r>
          </w:p>
        </w:tc>
        <w:tc>
          <w:tcPr>
            <w:tcW w:w="2689" w:type="dxa"/>
            <w:gridSpan w:val="2"/>
            <w:shd w:val="clear" w:color="auto" w:fill="auto"/>
            <w:vAlign w:val="center"/>
          </w:tcPr>
          <w:p w14:paraId="51D5973D" w14:textId="77777777" w:rsidR="008D615A" w:rsidRPr="00F02ABE" w:rsidRDefault="008D615A" w:rsidP="00F411DE">
            <w:pPr>
              <w:tabs>
                <w:tab w:val="left" w:pos="3119"/>
              </w:tabs>
              <w:spacing w:after="0"/>
              <w:jc w:val="center"/>
              <w:rPr>
                <w:rFonts w:ascii="Times New Roman" w:hAnsi="Times New Roman"/>
                <w:b/>
                <w:sz w:val="24"/>
                <w:szCs w:val="24"/>
              </w:rPr>
            </w:pPr>
            <w:r w:rsidRPr="00F02ABE">
              <w:rPr>
                <w:rFonts w:ascii="Times New Roman" w:hAnsi="Times New Roman"/>
                <w:b/>
                <w:sz w:val="24"/>
                <w:szCs w:val="24"/>
              </w:rPr>
              <w:t xml:space="preserve">006698/O-9 </w:t>
            </w:r>
            <w:r>
              <w:rPr>
                <w:rFonts w:ascii="Times New Roman" w:hAnsi="Times New Roman"/>
                <w:b/>
                <w:sz w:val="24"/>
                <w:szCs w:val="24"/>
              </w:rPr>
              <w:t>–</w:t>
            </w:r>
            <w:r w:rsidRPr="00F02ABE">
              <w:rPr>
                <w:rFonts w:ascii="Times New Roman" w:hAnsi="Times New Roman"/>
                <w:b/>
                <w:sz w:val="24"/>
                <w:szCs w:val="24"/>
              </w:rPr>
              <w:t xml:space="preserve"> PI</w:t>
            </w:r>
          </w:p>
        </w:tc>
      </w:tr>
    </w:tbl>
    <w:p w14:paraId="333F2D7C" w14:textId="77777777" w:rsidR="008D615A" w:rsidRDefault="008D615A" w:rsidP="00CB2FF5">
      <w:pPr>
        <w:spacing w:after="0" w:line="240" w:lineRule="auto"/>
        <w:jc w:val="center"/>
        <w:rPr>
          <w:rFonts w:ascii="Times New Roman" w:hAnsi="Times New Roman"/>
          <w:b/>
          <w:sz w:val="24"/>
          <w:szCs w:val="24"/>
        </w:rPr>
      </w:pPr>
    </w:p>
    <w:p w14:paraId="22130EB9" w14:textId="77777777" w:rsidR="00CB2FF5" w:rsidRDefault="00CB2FF5" w:rsidP="00CB2FF5">
      <w:pPr>
        <w:spacing w:after="0" w:line="240" w:lineRule="auto"/>
        <w:ind w:left="1701"/>
        <w:jc w:val="both"/>
        <w:rPr>
          <w:rFonts w:ascii="Times New Roman" w:hAnsi="Times New Roman"/>
          <w:b/>
          <w:sz w:val="24"/>
          <w:szCs w:val="24"/>
        </w:rPr>
      </w:pPr>
    </w:p>
    <w:p w14:paraId="68602785" w14:textId="77777777" w:rsidR="00CB296A" w:rsidRDefault="00CB296A" w:rsidP="00CB2FF5">
      <w:pPr>
        <w:spacing w:after="0" w:line="240" w:lineRule="auto"/>
        <w:ind w:left="1701"/>
        <w:jc w:val="both"/>
        <w:rPr>
          <w:rFonts w:ascii="Times New Roman" w:hAnsi="Times New Roman"/>
          <w:b/>
          <w:sz w:val="24"/>
          <w:szCs w:val="24"/>
        </w:rPr>
      </w:pPr>
    </w:p>
    <w:p w14:paraId="5DBB6E47" w14:textId="77777777" w:rsidR="00CB296A" w:rsidRDefault="00CB296A" w:rsidP="00CB2FF5">
      <w:pPr>
        <w:spacing w:after="0" w:line="240" w:lineRule="auto"/>
        <w:ind w:left="1701"/>
        <w:jc w:val="both"/>
        <w:rPr>
          <w:rFonts w:ascii="Times New Roman" w:hAnsi="Times New Roman"/>
          <w:b/>
          <w:sz w:val="24"/>
          <w:szCs w:val="24"/>
        </w:rPr>
      </w:pPr>
    </w:p>
    <w:p w14:paraId="7CEAD95E" w14:textId="77777777" w:rsidR="00CB296A" w:rsidRDefault="00CB296A" w:rsidP="00CB2FF5">
      <w:pPr>
        <w:spacing w:after="0" w:line="240" w:lineRule="auto"/>
        <w:ind w:left="1701"/>
        <w:jc w:val="both"/>
        <w:rPr>
          <w:rFonts w:ascii="Times New Roman" w:hAnsi="Times New Roman"/>
          <w:b/>
          <w:sz w:val="24"/>
          <w:szCs w:val="24"/>
        </w:rPr>
      </w:pPr>
    </w:p>
    <w:p w14:paraId="58895986" w14:textId="77777777" w:rsidR="00CB296A" w:rsidRDefault="00CB296A" w:rsidP="00CB2FF5">
      <w:pPr>
        <w:spacing w:after="0" w:line="240" w:lineRule="auto"/>
        <w:ind w:left="1701"/>
        <w:jc w:val="both"/>
        <w:rPr>
          <w:rFonts w:ascii="Times New Roman" w:hAnsi="Times New Roman"/>
          <w:b/>
          <w:sz w:val="24"/>
          <w:szCs w:val="24"/>
        </w:rPr>
      </w:pPr>
    </w:p>
    <w:p w14:paraId="2E91CD7A" w14:textId="77777777" w:rsidR="00CB296A" w:rsidRDefault="00CB296A" w:rsidP="00CB2FF5">
      <w:pPr>
        <w:spacing w:after="0" w:line="240" w:lineRule="auto"/>
        <w:ind w:left="1701"/>
        <w:jc w:val="both"/>
        <w:rPr>
          <w:rFonts w:ascii="Times New Roman" w:hAnsi="Times New Roman"/>
          <w:b/>
          <w:sz w:val="24"/>
          <w:szCs w:val="24"/>
        </w:rPr>
      </w:pPr>
    </w:p>
    <w:p w14:paraId="334CC6AD" w14:textId="77777777" w:rsidR="00AE304F" w:rsidRDefault="00AE304F" w:rsidP="008B00B8">
      <w:pPr>
        <w:spacing w:after="0" w:line="240" w:lineRule="auto"/>
        <w:ind w:left="1701"/>
        <w:jc w:val="center"/>
        <w:rPr>
          <w:rFonts w:ascii="Times New Roman" w:hAnsi="Times New Roman"/>
          <w:b/>
          <w:sz w:val="24"/>
          <w:szCs w:val="24"/>
        </w:rPr>
      </w:pPr>
    </w:p>
    <w:p w14:paraId="2E20EAC1" w14:textId="77777777" w:rsidR="00E15B57" w:rsidRDefault="00E15B57" w:rsidP="008B00B8">
      <w:pPr>
        <w:spacing w:after="0" w:line="240" w:lineRule="auto"/>
        <w:ind w:left="1701"/>
        <w:jc w:val="center"/>
        <w:rPr>
          <w:rFonts w:ascii="Times New Roman" w:hAnsi="Times New Roman"/>
          <w:b/>
          <w:sz w:val="24"/>
          <w:szCs w:val="24"/>
        </w:rPr>
      </w:pPr>
    </w:p>
    <w:p w14:paraId="50289663" w14:textId="5C54C6A8" w:rsidR="00CB2FF5" w:rsidRDefault="00CB2FF5" w:rsidP="00CB2FF5">
      <w:pPr>
        <w:spacing w:after="0" w:line="240" w:lineRule="auto"/>
        <w:ind w:left="1701"/>
        <w:jc w:val="both"/>
        <w:rPr>
          <w:rFonts w:ascii="Times New Roman" w:hAnsi="Times New Roman"/>
          <w:b/>
          <w:sz w:val="24"/>
          <w:szCs w:val="24"/>
        </w:rPr>
      </w:pPr>
      <w:r w:rsidRPr="00F02ABE">
        <w:rPr>
          <w:rFonts w:ascii="Times New Roman" w:hAnsi="Times New Roman"/>
          <w:b/>
          <w:sz w:val="24"/>
          <w:szCs w:val="24"/>
        </w:rPr>
        <w:lastRenderedPageBreak/>
        <w:t>1 – ESTURTURA ORGANIZACIONAL DO IFPI</w:t>
      </w:r>
    </w:p>
    <w:p w14:paraId="401E433C" w14:textId="77777777" w:rsidR="00CB2FF5" w:rsidRPr="00F02ABE" w:rsidRDefault="00CB2FF5" w:rsidP="00CB2FF5">
      <w:pPr>
        <w:spacing w:after="0" w:line="240" w:lineRule="auto"/>
        <w:ind w:left="1701"/>
        <w:jc w:val="both"/>
        <w:rPr>
          <w:rFonts w:ascii="Times New Roman" w:hAnsi="Times New Roman"/>
          <w:b/>
          <w:sz w:val="24"/>
          <w:szCs w:val="24"/>
        </w:rPr>
      </w:pPr>
    </w:p>
    <w:p w14:paraId="64062485" w14:textId="77777777" w:rsidR="00CB2FF5" w:rsidRDefault="00CB2FF5" w:rsidP="00CB2FF5">
      <w:pPr>
        <w:spacing w:after="0" w:line="240" w:lineRule="auto"/>
        <w:ind w:left="1701"/>
        <w:jc w:val="both"/>
        <w:rPr>
          <w:rFonts w:ascii="Times New Roman" w:hAnsi="Times New Roman"/>
          <w:sz w:val="24"/>
          <w:szCs w:val="24"/>
        </w:rPr>
      </w:pPr>
      <w:r w:rsidRPr="00F02ABE">
        <w:rPr>
          <w:rFonts w:ascii="Times New Roman" w:hAnsi="Times New Roman"/>
          <w:sz w:val="24"/>
          <w:szCs w:val="24"/>
        </w:rPr>
        <w:t>A estrutura organizacional do IFPI é composta por uma Reitoria, 17 (dezessete) unidades gestoras e 3 (três) Campi Avançados, descritos abaixo:</w:t>
      </w:r>
    </w:p>
    <w:p w14:paraId="5AB3E658" w14:textId="77777777" w:rsidR="00CB2FF5" w:rsidRPr="00F02ABE" w:rsidRDefault="00CB2FF5" w:rsidP="00CB2FF5">
      <w:pPr>
        <w:spacing w:after="0" w:line="240" w:lineRule="auto"/>
        <w:ind w:left="1701"/>
        <w:jc w:val="both"/>
        <w:rPr>
          <w:rFonts w:ascii="Times New Roman" w:hAnsi="Times New Roman"/>
          <w:sz w:val="24"/>
          <w:szCs w:val="24"/>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C0" w:firstRow="0" w:lastRow="1" w:firstColumn="1" w:lastColumn="0" w:noHBand="0" w:noVBand="1"/>
      </w:tblPr>
      <w:tblGrid>
        <w:gridCol w:w="456"/>
        <w:gridCol w:w="4755"/>
        <w:gridCol w:w="3119"/>
      </w:tblGrid>
      <w:tr w:rsidR="00CB2FF5" w:rsidRPr="00F02ABE" w14:paraId="69318D89" w14:textId="77777777" w:rsidTr="00242CBD">
        <w:tc>
          <w:tcPr>
            <w:tcW w:w="456" w:type="dxa"/>
            <w:shd w:val="clear" w:color="auto" w:fill="auto"/>
          </w:tcPr>
          <w:p w14:paraId="4298AA9D" w14:textId="77777777" w:rsidR="00CB2FF5" w:rsidRPr="00F02ABE" w:rsidRDefault="00CB2FF5" w:rsidP="00242CBD">
            <w:pPr>
              <w:spacing w:after="0" w:line="240" w:lineRule="auto"/>
              <w:jc w:val="both"/>
              <w:rPr>
                <w:rFonts w:ascii="Times New Roman" w:hAnsi="Times New Roman"/>
                <w:sz w:val="24"/>
                <w:szCs w:val="24"/>
              </w:rPr>
            </w:pPr>
          </w:p>
        </w:tc>
        <w:tc>
          <w:tcPr>
            <w:tcW w:w="4755" w:type="dxa"/>
            <w:shd w:val="clear" w:color="auto" w:fill="auto"/>
          </w:tcPr>
          <w:p w14:paraId="75D63168" w14:textId="77777777" w:rsidR="00CB2FF5" w:rsidRPr="00F02ABE" w:rsidRDefault="00CB2FF5" w:rsidP="00242CBD">
            <w:pPr>
              <w:spacing w:after="0" w:line="240" w:lineRule="auto"/>
              <w:jc w:val="both"/>
              <w:rPr>
                <w:rFonts w:ascii="Times New Roman" w:hAnsi="Times New Roman"/>
                <w:b/>
                <w:sz w:val="24"/>
                <w:szCs w:val="24"/>
              </w:rPr>
            </w:pPr>
            <w:r w:rsidRPr="00F02ABE">
              <w:rPr>
                <w:rFonts w:ascii="Times New Roman" w:hAnsi="Times New Roman"/>
                <w:b/>
                <w:sz w:val="24"/>
                <w:szCs w:val="24"/>
              </w:rPr>
              <w:t>IFPI</w:t>
            </w:r>
          </w:p>
        </w:tc>
        <w:tc>
          <w:tcPr>
            <w:tcW w:w="3119" w:type="dxa"/>
            <w:shd w:val="clear" w:color="auto" w:fill="auto"/>
          </w:tcPr>
          <w:p w14:paraId="353263F5" w14:textId="77777777" w:rsidR="00CB2FF5" w:rsidRPr="00F02ABE" w:rsidRDefault="00CB2FF5" w:rsidP="00242CBD">
            <w:pPr>
              <w:spacing w:after="0" w:line="240" w:lineRule="auto"/>
              <w:jc w:val="both"/>
              <w:rPr>
                <w:rFonts w:ascii="Times New Roman" w:hAnsi="Times New Roman"/>
                <w:b/>
                <w:sz w:val="24"/>
                <w:szCs w:val="24"/>
              </w:rPr>
            </w:pPr>
            <w:r w:rsidRPr="00F02ABE">
              <w:rPr>
                <w:rFonts w:ascii="Times New Roman" w:hAnsi="Times New Roman"/>
                <w:b/>
                <w:sz w:val="24"/>
                <w:szCs w:val="24"/>
              </w:rPr>
              <w:t>UNIDADES GESTORAS</w:t>
            </w:r>
          </w:p>
        </w:tc>
      </w:tr>
      <w:tr w:rsidR="00CB2FF5" w:rsidRPr="00F02ABE" w14:paraId="0E2C0E17" w14:textId="77777777" w:rsidTr="00242CBD">
        <w:tc>
          <w:tcPr>
            <w:tcW w:w="456" w:type="dxa"/>
            <w:shd w:val="clear" w:color="auto" w:fill="auto"/>
          </w:tcPr>
          <w:p w14:paraId="2D0FB150"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w:t>
            </w:r>
          </w:p>
        </w:tc>
        <w:tc>
          <w:tcPr>
            <w:tcW w:w="4755" w:type="dxa"/>
            <w:shd w:val="clear" w:color="auto" w:fill="auto"/>
          </w:tcPr>
          <w:p w14:paraId="4E121D28"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Reitoria</w:t>
            </w:r>
          </w:p>
        </w:tc>
        <w:tc>
          <w:tcPr>
            <w:tcW w:w="3119" w:type="dxa"/>
            <w:shd w:val="clear" w:color="auto" w:fill="auto"/>
          </w:tcPr>
          <w:p w14:paraId="27F5723B"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158146</w:t>
            </w:r>
          </w:p>
        </w:tc>
      </w:tr>
      <w:tr w:rsidR="00CB2FF5" w:rsidRPr="00F02ABE" w14:paraId="7E7BABE6" w14:textId="77777777" w:rsidTr="00242CBD">
        <w:tc>
          <w:tcPr>
            <w:tcW w:w="456" w:type="dxa"/>
            <w:shd w:val="clear" w:color="auto" w:fill="auto"/>
          </w:tcPr>
          <w:p w14:paraId="4B2534DD"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2</w:t>
            </w:r>
          </w:p>
        </w:tc>
        <w:tc>
          <w:tcPr>
            <w:tcW w:w="4755" w:type="dxa"/>
            <w:shd w:val="clear" w:color="auto" w:fill="auto"/>
          </w:tcPr>
          <w:p w14:paraId="6D69D813"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Teresina Central</w:t>
            </w:r>
          </w:p>
        </w:tc>
        <w:tc>
          <w:tcPr>
            <w:tcW w:w="3119" w:type="dxa"/>
            <w:shd w:val="clear" w:color="auto" w:fill="auto"/>
          </w:tcPr>
          <w:p w14:paraId="10935049"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158353</w:t>
            </w:r>
          </w:p>
        </w:tc>
      </w:tr>
      <w:tr w:rsidR="00CB2FF5" w:rsidRPr="00F02ABE" w14:paraId="20CFD2D0" w14:textId="77777777" w:rsidTr="00242CBD">
        <w:tc>
          <w:tcPr>
            <w:tcW w:w="456" w:type="dxa"/>
            <w:shd w:val="clear" w:color="auto" w:fill="auto"/>
          </w:tcPr>
          <w:p w14:paraId="697E9D46"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3</w:t>
            </w:r>
          </w:p>
        </w:tc>
        <w:tc>
          <w:tcPr>
            <w:tcW w:w="4755" w:type="dxa"/>
            <w:shd w:val="clear" w:color="auto" w:fill="auto"/>
          </w:tcPr>
          <w:p w14:paraId="3964770C"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Zona Sul</w:t>
            </w:r>
          </w:p>
        </w:tc>
        <w:tc>
          <w:tcPr>
            <w:tcW w:w="3119" w:type="dxa"/>
            <w:shd w:val="clear" w:color="auto" w:fill="auto"/>
          </w:tcPr>
          <w:p w14:paraId="5E37E16C"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158354</w:t>
            </w:r>
          </w:p>
        </w:tc>
      </w:tr>
      <w:tr w:rsidR="00CB2FF5" w:rsidRPr="00F02ABE" w14:paraId="7D55ADEF" w14:textId="77777777" w:rsidTr="00242CBD">
        <w:tc>
          <w:tcPr>
            <w:tcW w:w="456" w:type="dxa"/>
            <w:shd w:val="clear" w:color="auto" w:fill="auto"/>
          </w:tcPr>
          <w:p w14:paraId="5FD74296"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4</w:t>
            </w:r>
          </w:p>
        </w:tc>
        <w:tc>
          <w:tcPr>
            <w:tcW w:w="4755" w:type="dxa"/>
            <w:shd w:val="clear" w:color="auto" w:fill="auto"/>
          </w:tcPr>
          <w:p w14:paraId="60226A34"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Floriano</w:t>
            </w:r>
          </w:p>
        </w:tc>
        <w:tc>
          <w:tcPr>
            <w:tcW w:w="3119" w:type="dxa"/>
            <w:shd w:val="clear" w:color="auto" w:fill="auto"/>
          </w:tcPr>
          <w:p w14:paraId="23513472"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158355</w:t>
            </w:r>
          </w:p>
        </w:tc>
      </w:tr>
      <w:tr w:rsidR="00CB2FF5" w:rsidRPr="00F02ABE" w14:paraId="3721F828" w14:textId="77777777" w:rsidTr="00242CBD">
        <w:tc>
          <w:tcPr>
            <w:tcW w:w="456" w:type="dxa"/>
            <w:shd w:val="clear" w:color="auto" w:fill="auto"/>
          </w:tcPr>
          <w:p w14:paraId="5AFEB6B0"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5</w:t>
            </w:r>
          </w:p>
        </w:tc>
        <w:tc>
          <w:tcPr>
            <w:tcW w:w="4755" w:type="dxa"/>
            <w:shd w:val="clear" w:color="auto" w:fill="auto"/>
          </w:tcPr>
          <w:p w14:paraId="78B36A5B"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Picos</w:t>
            </w:r>
          </w:p>
        </w:tc>
        <w:tc>
          <w:tcPr>
            <w:tcW w:w="3119" w:type="dxa"/>
            <w:shd w:val="clear" w:color="auto" w:fill="auto"/>
          </w:tcPr>
          <w:p w14:paraId="16041EE5"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158356</w:t>
            </w:r>
          </w:p>
        </w:tc>
      </w:tr>
      <w:tr w:rsidR="00CB2FF5" w:rsidRPr="00F02ABE" w14:paraId="24671FB9" w14:textId="77777777" w:rsidTr="00242CBD">
        <w:tc>
          <w:tcPr>
            <w:tcW w:w="456" w:type="dxa"/>
            <w:shd w:val="clear" w:color="auto" w:fill="auto"/>
          </w:tcPr>
          <w:p w14:paraId="2D39DC84"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6</w:t>
            </w:r>
          </w:p>
        </w:tc>
        <w:tc>
          <w:tcPr>
            <w:tcW w:w="4755" w:type="dxa"/>
            <w:shd w:val="clear" w:color="auto" w:fill="auto"/>
          </w:tcPr>
          <w:p w14:paraId="1FCD8075"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Paranaíba</w:t>
            </w:r>
          </w:p>
        </w:tc>
        <w:tc>
          <w:tcPr>
            <w:tcW w:w="3119" w:type="dxa"/>
            <w:shd w:val="clear" w:color="auto" w:fill="auto"/>
          </w:tcPr>
          <w:p w14:paraId="29C5CD71"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158357</w:t>
            </w:r>
          </w:p>
        </w:tc>
      </w:tr>
      <w:tr w:rsidR="00CB2FF5" w:rsidRPr="00F02ABE" w14:paraId="24243594" w14:textId="77777777" w:rsidTr="00242CBD">
        <w:tc>
          <w:tcPr>
            <w:tcW w:w="456" w:type="dxa"/>
            <w:shd w:val="clear" w:color="auto" w:fill="auto"/>
          </w:tcPr>
          <w:p w14:paraId="2338D47A"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7</w:t>
            </w:r>
          </w:p>
        </w:tc>
        <w:tc>
          <w:tcPr>
            <w:tcW w:w="4755" w:type="dxa"/>
            <w:shd w:val="clear" w:color="auto" w:fill="auto"/>
          </w:tcPr>
          <w:p w14:paraId="563BFEBF"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Angical</w:t>
            </w:r>
          </w:p>
        </w:tc>
        <w:tc>
          <w:tcPr>
            <w:tcW w:w="3119" w:type="dxa"/>
            <w:shd w:val="clear" w:color="auto" w:fill="auto"/>
          </w:tcPr>
          <w:p w14:paraId="56A8C897"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158358</w:t>
            </w:r>
          </w:p>
        </w:tc>
      </w:tr>
      <w:tr w:rsidR="00CB2FF5" w:rsidRPr="00F02ABE" w14:paraId="115E4102" w14:textId="77777777" w:rsidTr="00242CBD">
        <w:tc>
          <w:tcPr>
            <w:tcW w:w="456" w:type="dxa"/>
            <w:shd w:val="clear" w:color="auto" w:fill="auto"/>
          </w:tcPr>
          <w:p w14:paraId="1C2837C0"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8</w:t>
            </w:r>
          </w:p>
        </w:tc>
        <w:tc>
          <w:tcPr>
            <w:tcW w:w="4755" w:type="dxa"/>
            <w:shd w:val="clear" w:color="auto" w:fill="auto"/>
          </w:tcPr>
          <w:p w14:paraId="4DEF7114"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Paulistana</w:t>
            </w:r>
          </w:p>
        </w:tc>
        <w:tc>
          <w:tcPr>
            <w:tcW w:w="3119" w:type="dxa"/>
            <w:shd w:val="clear" w:color="auto" w:fill="auto"/>
          </w:tcPr>
          <w:p w14:paraId="75D1EC2C"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158359</w:t>
            </w:r>
          </w:p>
        </w:tc>
      </w:tr>
      <w:tr w:rsidR="00CB2FF5" w:rsidRPr="00F02ABE" w14:paraId="42AB4BA0" w14:textId="77777777" w:rsidTr="00242CBD">
        <w:tc>
          <w:tcPr>
            <w:tcW w:w="456" w:type="dxa"/>
            <w:shd w:val="clear" w:color="auto" w:fill="auto"/>
          </w:tcPr>
          <w:p w14:paraId="67F0A84A"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9</w:t>
            </w:r>
          </w:p>
        </w:tc>
        <w:tc>
          <w:tcPr>
            <w:tcW w:w="4755" w:type="dxa"/>
            <w:shd w:val="clear" w:color="auto" w:fill="auto"/>
          </w:tcPr>
          <w:p w14:paraId="1675126D"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Piripiri</w:t>
            </w:r>
          </w:p>
        </w:tc>
        <w:tc>
          <w:tcPr>
            <w:tcW w:w="3119" w:type="dxa"/>
            <w:shd w:val="clear" w:color="auto" w:fill="auto"/>
          </w:tcPr>
          <w:p w14:paraId="24509686"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158360</w:t>
            </w:r>
          </w:p>
        </w:tc>
      </w:tr>
      <w:tr w:rsidR="00CB2FF5" w:rsidRPr="00F02ABE" w14:paraId="7440174A" w14:textId="77777777" w:rsidTr="00242CBD">
        <w:tc>
          <w:tcPr>
            <w:tcW w:w="456" w:type="dxa"/>
            <w:shd w:val="clear" w:color="auto" w:fill="auto"/>
          </w:tcPr>
          <w:p w14:paraId="408114C3"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10</w:t>
            </w:r>
          </w:p>
        </w:tc>
        <w:tc>
          <w:tcPr>
            <w:tcW w:w="4755" w:type="dxa"/>
            <w:shd w:val="clear" w:color="auto" w:fill="auto"/>
          </w:tcPr>
          <w:p w14:paraId="33065C4D"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São Raimundo Nonato</w:t>
            </w:r>
          </w:p>
        </w:tc>
        <w:tc>
          <w:tcPr>
            <w:tcW w:w="3119" w:type="dxa"/>
            <w:shd w:val="clear" w:color="auto" w:fill="auto"/>
          </w:tcPr>
          <w:p w14:paraId="160FB930"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158361</w:t>
            </w:r>
          </w:p>
        </w:tc>
      </w:tr>
      <w:tr w:rsidR="00CB2FF5" w:rsidRPr="00F02ABE" w14:paraId="7B9F94B6" w14:textId="77777777" w:rsidTr="00242CBD">
        <w:tc>
          <w:tcPr>
            <w:tcW w:w="456" w:type="dxa"/>
            <w:shd w:val="clear" w:color="auto" w:fill="auto"/>
          </w:tcPr>
          <w:p w14:paraId="59CA5C34"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11</w:t>
            </w:r>
          </w:p>
        </w:tc>
        <w:tc>
          <w:tcPr>
            <w:tcW w:w="4755" w:type="dxa"/>
            <w:shd w:val="clear" w:color="auto" w:fill="auto"/>
          </w:tcPr>
          <w:p w14:paraId="43402D81"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Corrente</w:t>
            </w:r>
          </w:p>
        </w:tc>
        <w:tc>
          <w:tcPr>
            <w:tcW w:w="3119" w:type="dxa"/>
            <w:shd w:val="clear" w:color="auto" w:fill="auto"/>
          </w:tcPr>
          <w:p w14:paraId="101E75F3"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158362</w:t>
            </w:r>
          </w:p>
        </w:tc>
      </w:tr>
      <w:tr w:rsidR="00CB2FF5" w:rsidRPr="00F02ABE" w14:paraId="1EF3D5D2" w14:textId="77777777" w:rsidTr="00242CBD">
        <w:tc>
          <w:tcPr>
            <w:tcW w:w="456" w:type="dxa"/>
            <w:shd w:val="clear" w:color="auto" w:fill="auto"/>
          </w:tcPr>
          <w:p w14:paraId="3418F51E"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12</w:t>
            </w:r>
          </w:p>
        </w:tc>
        <w:tc>
          <w:tcPr>
            <w:tcW w:w="4755" w:type="dxa"/>
            <w:shd w:val="clear" w:color="auto" w:fill="auto"/>
          </w:tcPr>
          <w:p w14:paraId="3C804210"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Uruçuí</w:t>
            </w:r>
          </w:p>
        </w:tc>
        <w:tc>
          <w:tcPr>
            <w:tcW w:w="3119" w:type="dxa"/>
            <w:shd w:val="clear" w:color="auto" w:fill="auto"/>
          </w:tcPr>
          <w:p w14:paraId="1F732234"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158363</w:t>
            </w:r>
          </w:p>
        </w:tc>
      </w:tr>
      <w:tr w:rsidR="00CB2FF5" w:rsidRPr="00F02ABE" w14:paraId="2AD92AE5" w14:textId="77777777" w:rsidTr="00242CBD">
        <w:tc>
          <w:tcPr>
            <w:tcW w:w="456" w:type="dxa"/>
            <w:shd w:val="clear" w:color="auto" w:fill="auto"/>
          </w:tcPr>
          <w:p w14:paraId="0B5EA439"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13</w:t>
            </w:r>
          </w:p>
        </w:tc>
        <w:tc>
          <w:tcPr>
            <w:tcW w:w="4755" w:type="dxa"/>
            <w:shd w:val="clear" w:color="auto" w:fill="auto"/>
          </w:tcPr>
          <w:p w14:paraId="48CEC465"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Oeiras</w:t>
            </w:r>
          </w:p>
        </w:tc>
        <w:tc>
          <w:tcPr>
            <w:tcW w:w="3119" w:type="dxa"/>
            <w:shd w:val="clear" w:color="auto" w:fill="auto"/>
          </w:tcPr>
          <w:p w14:paraId="3F513E8B"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154701</w:t>
            </w:r>
          </w:p>
        </w:tc>
      </w:tr>
      <w:tr w:rsidR="00CB2FF5" w:rsidRPr="00F02ABE" w14:paraId="024CA26B" w14:textId="77777777" w:rsidTr="00242CBD">
        <w:tc>
          <w:tcPr>
            <w:tcW w:w="456" w:type="dxa"/>
            <w:shd w:val="clear" w:color="auto" w:fill="auto"/>
          </w:tcPr>
          <w:p w14:paraId="684F6935"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14</w:t>
            </w:r>
          </w:p>
        </w:tc>
        <w:tc>
          <w:tcPr>
            <w:tcW w:w="4755" w:type="dxa"/>
            <w:shd w:val="clear" w:color="auto" w:fill="auto"/>
          </w:tcPr>
          <w:p w14:paraId="4984042C"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São João do Piauí</w:t>
            </w:r>
          </w:p>
        </w:tc>
        <w:tc>
          <w:tcPr>
            <w:tcW w:w="3119" w:type="dxa"/>
            <w:shd w:val="clear" w:color="auto" w:fill="auto"/>
          </w:tcPr>
          <w:p w14:paraId="68A0F7BB"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154704</w:t>
            </w:r>
          </w:p>
        </w:tc>
      </w:tr>
      <w:tr w:rsidR="00CB2FF5" w:rsidRPr="00F02ABE" w14:paraId="466C9C5B" w14:textId="77777777" w:rsidTr="00242CBD">
        <w:tc>
          <w:tcPr>
            <w:tcW w:w="456" w:type="dxa"/>
            <w:shd w:val="clear" w:color="auto" w:fill="auto"/>
          </w:tcPr>
          <w:p w14:paraId="50FFA269"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15</w:t>
            </w:r>
          </w:p>
        </w:tc>
        <w:tc>
          <w:tcPr>
            <w:tcW w:w="4755" w:type="dxa"/>
            <w:shd w:val="clear" w:color="auto" w:fill="auto"/>
          </w:tcPr>
          <w:p w14:paraId="7A06712E"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Pedro II</w:t>
            </w:r>
          </w:p>
        </w:tc>
        <w:tc>
          <w:tcPr>
            <w:tcW w:w="3119" w:type="dxa"/>
            <w:shd w:val="clear" w:color="auto" w:fill="auto"/>
          </w:tcPr>
          <w:p w14:paraId="6430FD27"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154705</w:t>
            </w:r>
          </w:p>
        </w:tc>
      </w:tr>
      <w:tr w:rsidR="00CB2FF5" w:rsidRPr="00F02ABE" w14:paraId="59EBCDF9" w14:textId="77777777" w:rsidTr="00242CBD">
        <w:tc>
          <w:tcPr>
            <w:tcW w:w="456" w:type="dxa"/>
            <w:shd w:val="clear" w:color="auto" w:fill="auto"/>
          </w:tcPr>
          <w:p w14:paraId="4FB72B12"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16</w:t>
            </w:r>
          </w:p>
        </w:tc>
        <w:tc>
          <w:tcPr>
            <w:tcW w:w="4755" w:type="dxa"/>
            <w:shd w:val="clear" w:color="auto" w:fill="auto"/>
          </w:tcPr>
          <w:p w14:paraId="40FC2D7A"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Valença</w:t>
            </w:r>
          </w:p>
        </w:tc>
        <w:tc>
          <w:tcPr>
            <w:tcW w:w="3119" w:type="dxa"/>
            <w:shd w:val="clear" w:color="auto" w:fill="auto"/>
          </w:tcPr>
          <w:p w14:paraId="2569764A"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155199</w:t>
            </w:r>
          </w:p>
        </w:tc>
      </w:tr>
      <w:tr w:rsidR="00CB2FF5" w:rsidRPr="00F02ABE" w14:paraId="335C190B" w14:textId="77777777" w:rsidTr="00242CBD">
        <w:tc>
          <w:tcPr>
            <w:tcW w:w="456" w:type="dxa"/>
            <w:shd w:val="clear" w:color="auto" w:fill="auto"/>
          </w:tcPr>
          <w:p w14:paraId="4649A22C"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17</w:t>
            </w:r>
          </w:p>
        </w:tc>
        <w:tc>
          <w:tcPr>
            <w:tcW w:w="4755" w:type="dxa"/>
            <w:shd w:val="clear" w:color="auto" w:fill="auto"/>
          </w:tcPr>
          <w:p w14:paraId="11DF4E39"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Campo Maior</w:t>
            </w:r>
          </w:p>
        </w:tc>
        <w:tc>
          <w:tcPr>
            <w:tcW w:w="3119" w:type="dxa"/>
            <w:shd w:val="clear" w:color="auto" w:fill="auto"/>
          </w:tcPr>
          <w:p w14:paraId="3EC8AB30"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155207</w:t>
            </w:r>
          </w:p>
        </w:tc>
      </w:tr>
      <w:tr w:rsidR="00CB2FF5" w:rsidRPr="00F02ABE" w14:paraId="4376C4AA" w14:textId="77777777" w:rsidTr="00242CBD">
        <w:tc>
          <w:tcPr>
            <w:tcW w:w="456" w:type="dxa"/>
            <w:shd w:val="clear" w:color="auto" w:fill="auto"/>
          </w:tcPr>
          <w:p w14:paraId="6F399535"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18</w:t>
            </w:r>
          </w:p>
        </w:tc>
        <w:tc>
          <w:tcPr>
            <w:tcW w:w="4755" w:type="dxa"/>
            <w:shd w:val="clear" w:color="auto" w:fill="auto"/>
          </w:tcPr>
          <w:p w14:paraId="0F1E06C5"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Cocal</w:t>
            </w:r>
          </w:p>
        </w:tc>
        <w:tc>
          <w:tcPr>
            <w:tcW w:w="3119" w:type="dxa"/>
            <w:shd w:val="clear" w:color="auto" w:fill="auto"/>
          </w:tcPr>
          <w:p w14:paraId="0DF6786E"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155214</w:t>
            </w:r>
          </w:p>
        </w:tc>
      </w:tr>
      <w:tr w:rsidR="00CB2FF5" w:rsidRPr="00F02ABE" w14:paraId="2F4C107C" w14:textId="77777777" w:rsidTr="00242CBD">
        <w:tc>
          <w:tcPr>
            <w:tcW w:w="456" w:type="dxa"/>
            <w:shd w:val="clear" w:color="auto" w:fill="auto"/>
          </w:tcPr>
          <w:p w14:paraId="3E638A25"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19</w:t>
            </w:r>
          </w:p>
        </w:tc>
        <w:tc>
          <w:tcPr>
            <w:tcW w:w="4755" w:type="dxa"/>
            <w:shd w:val="clear" w:color="auto" w:fill="auto"/>
          </w:tcPr>
          <w:p w14:paraId="0BB785DC"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Avançado do Dirceu Arcoverde</w:t>
            </w:r>
          </w:p>
        </w:tc>
        <w:tc>
          <w:tcPr>
            <w:tcW w:w="3119" w:type="dxa"/>
            <w:shd w:val="clear" w:color="auto" w:fill="auto"/>
          </w:tcPr>
          <w:p w14:paraId="1A97094A"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w:t>
            </w:r>
          </w:p>
        </w:tc>
      </w:tr>
      <w:tr w:rsidR="00CB2FF5" w:rsidRPr="00F02ABE" w14:paraId="74877B57" w14:textId="77777777" w:rsidTr="00242CBD">
        <w:tc>
          <w:tcPr>
            <w:tcW w:w="456" w:type="dxa"/>
            <w:shd w:val="clear" w:color="auto" w:fill="auto"/>
          </w:tcPr>
          <w:p w14:paraId="14212C28"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20</w:t>
            </w:r>
          </w:p>
        </w:tc>
        <w:tc>
          <w:tcPr>
            <w:tcW w:w="4755" w:type="dxa"/>
            <w:shd w:val="clear" w:color="auto" w:fill="auto"/>
          </w:tcPr>
          <w:p w14:paraId="57A7BC78"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Avançado de José de Freitas</w:t>
            </w:r>
          </w:p>
        </w:tc>
        <w:tc>
          <w:tcPr>
            <w:tcW w:w="3119" w:type="dxa"/>
            <w:shd w:val="clear" w:color="auto" w:fill="auto"/>
          </w:tcPr>
          <w:p w14:paraId="58F61B70"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w:t>
            </w:r>
          </w:p>
        </w:tc>
      </w:tr>
      <w:tr w:rsidR="00CB2FF5" w:rsidRPr="00F02ABE" w14:paraId="3089EE25" w14:textId="77777777" w:rsidTr="00242CBD">
        <w:tc>
          <w:tcPr>
            <w:tcW w:w="456" w:type="dxa"/>
            <w:shd w:val="clear" w:color="auto" w:fill="auto"/>
          </w:tcPr>
          <w:p w14:paraId="0C93A8C7"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lastRenderedPageBreak/>
              <w:t>21</w:t>
            </w:r>
          </w:p>
        </w:tc>
        <w:tc>
          <w:tcPr>
            <w:tcW w:w="4755" w:type="dxa"/>
            <w:shd w:val="clear" w:color="auto" w:fill="auto"/>
          </w:tcPr>
          <w:p w14:paraId="17BE8AA0"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Campus Avançado de Pio IX</w:t>
            </w:r>
          </w:p>
        </w:tc>
        <w:tc>
          <w:tcPr>
            <w:tcW w:w="3119" w:type="dxa"/>
            <w:shd w:val="clear" w:color="auto" w:fill="auto"/>
          </w:tcPr>
          <w:p w14:paraId="03D8D5AD" w14:textId="77777777" w:rsidR="00CB2FF5" w:rsidRPr="00F02ABE" w:rsidRDefault="00CB2FF5" w:rsidP="00242CBD">
            <w:pPr>
              <w:spacing w:after="0" w:line="240" w:lineRule="auto"/>
              <w:jc w:val="center"/>
              <w:rPr>
                <w:rFonts w:ascii="Times New Roman" w:hAnsi="Times New Roman"/>
                <w:sz w:val="24"/>
                <w:szCs w:val="24"/>
              </w:rPr>
            </w:pPr>
            <w:r w:rsidRPr="00F02ABE">
              <w:rPr>
                <w:rFonts w:ascii="Times New Roman" w:hAnsi="Times New Roman"/>
                <w:sz w:val="24"/>
                <w:szCs w:val="24"/>
              </w:rPr>
              <w:t>-</w:t>
            </w:r>
          </w:p>
        </w:tc>
      </w:tr>
    </w:tbl>
    <w:p w14:paraId="3681BFEF" w14:textId="77777777" w:rsidR="00CB2FF5" w:rsidRPr="00F02ABE" w:rsidRDefault="00CB2FF5" w:rsidP="00CB2FF5">
      <w:pPr>
        <w:spacing w:after="0" w:line="240" w:lineRule="auto"/>
        <w:ind w:left="1701"/>
        <w:jc w:val="both"/>
        <w:rPr>
          <w:rFonts w:ascii="Times New Roman" w:hAnsi="Times New Roman"/>
          <w:sz w:val="24"/>
          <w:szCs w:val="24"/>
        </w:rPr>
      </w:pPr>
      <w:r w:rsidRPr="00F02ABE">
        <w:rPr>
          <w:rFonts w:ascii="Times New Roman" w:hAnsi="Times New Roman"/>
          <w:sz w:val="24"/>
          <w:szCs w:val="24"/>
        </w:rPr>
        <w:t>A execução orçamentária dos Campus Avançado do Dirceu Arcoverde e de José de Freitas é feita pelo Campus Teresina Central, e do Campus Avançado de Pio IX, é realizada pela Reitoria; pois os mesmos não possuem unidades gestoras.</w:t>
      </w:r>
    </w:p>
    <w:p w14:paraId="2AACFA09" w14:textId="77777777" w:rsidR="00CB2FF5" w:rsidRPr="00F02ABE" w:rsidRDefault="00CB2FF5" w:rsidP="00CB2FF5">
      <w:pPr>
        <w:spacing w:after="0" w:line="240" w:lineRule="auto"/>
        <w:ind w:left="1701"/>
        <w:jc w:val="both"/>
        <w:rPr>
          <w:rFonts w:ascii="Times New Roman" w:hAnsi="Times New Roman"/>
          <w:sz w:val="24"/>
          <w:szCs w:val="24"/>
        </w:rPr>
      </w:pPr>
    </w:p>
    <w:p w14:paraId="4900E650" w14:textId="77777777" w:rsidR="00CB2FF5" w:rsidRPr="00F02ABE" w:rsidRDefault="00CB2FF5" w:rsidP="00CB2FF5">
      <w:pPr>
        <w:spacing w:after="0" w:line="240" w:lineRule="auto"/>
        <w:ind w:left="1701"/>
        <w:jc w:val="both"/>
        <w:rPr>
          <w:rFonts w:ascii="Times New Roman" w:hAnsi="Times New Roman"/>
          <w:b/>
          <w:bCs/>
          <w:sz w:val="24"/>
          <w:szCs w:val="24"/>
          <w:lang w:eastAsia="pt-BR"/>
        </w:rPr>
      </w:pPr>
      <w:r w:rsidRPr="00F02ABE">
        <w:rPr>
          <w:rFonts w:ascii="Times New Roman" w:hAnsi="Times New Roman"/>
          <w:b/>
          <w:bCs/>
          <w:sz w:val="24"/>
          <w:szCs w:val="24"/>
          <w:lang w:eastAsia="pt-BR"/>
        </w:rPr>
        <w:t>2 - BASE DE PREPARAÇÃO DAS DEMONSTRAÇÕES CONTÁBEIS</w:t>
      </w:r>
    </w:p>
    <w:p w14:paraId="429069FF" w14:textId="77777777" w:rsidR="00CB2FF5" w:rsidRPr="00F02ABE" w:rsidRDefault="00CB2FF5" w:rsidP="00CB2FF5">
      <w:pPr>
        <w:spacing w:after="0" w:line="240" w:lineRule="auto"/>
        <w:ind w:left="1701"/>
        <w:jc w:val="both"/>
        <w:rPr>
          <w:rFonts w:ascii="Times New Roman" w:hAnsi="Times New Roman"/>
          <w:b/>
          <w:bCs/>
          <w:sz w:val="24"/>
          <w:szCs w:val="24"/>
          <w:lang w:eastAsia="pt-BR"/>
        </w:rPr>
      </w:pPr>
    </w:p>
    <w:p w14:paraId="393F3ACC"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As Demonstrações Contábeis do MEC são elaboradas em consonância com os dispositivos da Lei nº 4.320/1964, do Decreto-Lei nº 200/1967, do Decreto nº 93.872/1986, da Lei Complementar nº 101/2000 (LRF). Abrangem também as NBCASP </w:t>
      </w:r>
      <w:r w:rsidRPr="00F02ABE">
        <w:rPr>
          <w:rFonts w:ascii="Times New Roman" w:hAnsi="Times New Roman"/>
          <w:i/>
          <w:iCs/>
          <w:color w:val="000000"/>
          <w:sz w:val="24"/>
          <w:szCs w:val="24"/>
          <w:lang w:eastAsia="pt-BR"/>
        </w:rPr>
        <w:t>(Resoluções do CFC nº1.134 a 1.137/2008 e nº 1.366/2011</w:t>
      </w:r>
      <w:r w:rsidRPr="00F02ABE">
        <w:rPr>
          <w:rFonts w:ascii="Times New Roman" w:hAnsi="Times New Roman"/>
          <w:color w:val="000000"/>
          <w:sz w:val="24"/>
          <w:szCs w:val="24"/>
          <w:lang w:eastAsia="pt-BR"/>
        </w:rPr>
        <w:t>) (</w:t>
      </w:r>
      <w:r w:rsidRPr="00F02ABE">
        <w:rPr>
          <w:rFonts w:ascii="Times New Roman" w:hAnsi="Times New Roman"/>
          <w:i/>
          <w:iCs/>
          <w:color w:val="000000"/>
          <w:sz w:val="24"/>
          <w:szCs w:val="24"/>
          <w:lang w:eastAsia="pt-BR"/>
        </w:rPr>
        <w:t>NBC T 16.6 R1 e 16.7 a 16.11</w:t>
      </w:r>
      <w:r w:rsidRPr="00F02ABE">
        <w:rPr>
          <w:rFonts w:ascii="Times New Roman" w:hAnsi="Times New Roman"/>
          <w:color w:val="000000"/>
          <w:sz w:val="24"/>
          <w:szCs w:val="24"/>
          <w:lang w:eastAsia="pt-BR"/>
        </w:rPr>
        <w:t xml:space="preserve">); as </w:t>
      </w:r>
      <w:r w:rsidRPr="00F02ABE">
        <w:rPr>
          <w:rFonts w:ascii="Times New Roman" w:hAnsi="Times New Roman"/>
          <w:i/>
          <w:iCs/>
          <w:color w:val="000000"/>
          <w:sz w:val="24"/>
          <w:szCs w:val="24"/>
          <w:lang w:eastAsia="pt-BR"/>
        </w:rPr>
        <w:t>NBC TSP (Estrutura Conceitual, NBC TSP nº 01 a 10</w:t>
      </w:r>
      <w:r w:rsidRPr="00F02ABE">
        <w:rPr>
          <w:rFonts w:ascii="Times New Roman" w:hAnsi="Times New Roman"/>
          <w:color w:val="000000"/>
          <w:sz w:val="24"/>
          <w:szCs w:val="24"/>
          <w:lang w:eastAsia="pt-BR"/>
        </w:rPr>
        <w:t xml:space="preserve">)3; as instruções descritas no Manual de Contabilidade Aplicada ao Setor Público (MCASP), 7ª edição; a estrutura proposta no Plano de Contas Aplicado ao Setor Público (PCASP) </w:t>
      </w:r>
      <w:r w:rsidRPr="00F02ABE">
        <w:rPr>
          <w:rFonts w:ascii="Times New Roman" w:hAnsi="Times New Roman"/>
          <w:i/>
          <w:iCs/>
          <w:color w:val="000000"/>
          <w:sz w:val="24"/>
          <w:szCs w:val="24"/>
          <w:lang w:eastAsia="pt-BR"/>
        </w:rPr>
        <w:t>(Portaria STN nº 700/2014)</w:t>
      </w:r>
      <w:r w:rsidRPr="00F02ABE">
        <w:rPr>
          <w:rFonts w:ascii="Times New Roman" w:hAnsi="Times New Roman"/>
          <w:color w:val="000000"/>
          <w:sz w:val="24"/>
          <w:szCs w:val="24"/>
          <w:lang w:eastAsia="pt-BR"/>
        </w:rPr>
        <w:t xml:space="preserve">, bem como o Manual SIAFI, que contém orientações e procedimentos específicos por assunto. As NBC TSP citadas acima guardam correlação com as </w:t>
      </w:r>
      <w:proofErr w:type="spellStart"/>
      <w:r w:rsidRPr="00F02ABE">
        <w:rPr>
          <w:rFonts w:ascii="Times New Roman" w:hAnsi="Times New Roman"/>
          <w:i/>
          <w:iCs/>
          <w:color w:val="000000"/>
          <w:sz w:val="24"/>
          <w:szCs w:val="24"/>
          <w:lang w:eastAsia="pt-BR"/>
        </w:rPr>
        <w:t>International</w:t>
      </w:r>
      <w:proofErr w:type="spellEnd"/>
      <w:r w:rsidRPr="00F02ABE">
        <w:rPr>
          <w:rFonts w:ascii="Times New Roman" w:hAnsi="Times New Roman"/>
          <w:i/>
          <w:iCs/>
          <w:color w:val="000000"/>
          <w:sz w:val="24"/>
          <w:szCs w:val="24"/>
          <w:lang w:eastAsia="pt-BR"/>
        </w:rPr>
        <w:t xml:space="preserve"> </w:t>
      </w:r>
      <w:proofErr w:type="spellStart"/>
      <w:r w:rsidRPr="00F02ABE">
        <w:rPr>
          <w:rFonts w:ascii="Times New Roman" w:hAnsi="Times New Roman"/>
          <w:i/>
          <w:iCs/>
          <w:color w:val="000000"/>
          <w:sz w:val="24"/>
          <w:szCs w:val="24"/>
          <w:lang w:eastAsia="pt-BR"/>
        </w:rPr>
        <w:t>Public</w:t>
      </w:r>
      <w:proofErr w:type="spellEnd"/>
      <w:r w:rsidRPr="00F02ABE">
        <w:rPr>
          <w:rFonts w:ascii="Times New Roman" w:hAnsi="Times New Roman"/>
          <w:i/>
          <w:iCs/>
          <w:color w:val="000000"/>
          <w:sz w:val="24"/>
          <w:szCs w:val="24"/>
          <w:lang w:eastAsia="pt-BR"/>
        </w:rPr>
        <w:t xml:space="preserve"> Sector </w:t>
      </w:r>
      <w:proofErr w:type="spellStart"/>
      <w:r w:rsidRPr="00F02ABE">
        <w:rPr>
          <w:rFonts w:ascii="Times New Roman" w:hAnsi="Times New Roman"/>
          <w:i/>
          <w:iCs/>
          <w:color w:val="000000"/>
          <w:sz w:val="24"/>
          <w:szCs w:val="24"/>
          <w:lang w:eastAsia="pt-BR"/>
        </w:rPr>
        <w:t>ccounting</w:t>
      </w:r>
      <w:proofErr w:type="spellEnd"/>
      <w:r w:rsidRPr="00F02ABE">
        <w:rPr>
          <w:rFonts w:ascii="Times New Roman" w:hAnsi="Times New Roman"/>
          <w:i/>
          <w:iCs/>
          <w:color w:val="000000"/>
          <w:sz w:val="24"/>
          <w:szCs w:val="24"/>
          <w:lang w:eastAsia="pt-BR"/>
        </w:rPr>
        <w:t xml:space="preserve"> Standards – IPSAS</w:t>
      </w:r>
      <w:r w:rsidRPr="00F02ABE">
        <w:rPr>
          <w:rFonts w:ascii="Times New Roman" w:hAnsi="Times New Roman"/>
          <w:color w:val="000000"/>
          <w:sz w:val="24"/>
          <w:szCs w:val="24"/>
          <w:lang w:eastAsia="pt-BR"/>
        </w:rPr>
        <w:t>, tendo em vista que o Brasil é um dos países signatários da convergência às normas internacionais. As demonstrações contábeis consolidam as informações de todos os órgãos vinculados ao MEC, tanto da administração direta (secretarias finalísticas e institutos de educação especial) quanto da indireta (universidades, institutos de educação profissional e tecnológica, de pesquisas e avaliação e empresas públicas); e foram elaboradas a partir das informações constantes no Sistema Integrado de Administração Financeira do Governo Federal (Siafi), que o utilizam para a execução orçamentária, financeira e patrimonial. O objetivo principal das demonstrações contábeis é fornecer, aos diversos usuários, informações sobre a situação econômico-financeira da entidade, quais sejam: a sua situação patrimonial, o seu desempenho e os seus fluxos de caixa, em determinado período ou exercício financeiro.</w:t>
      </w:r>
    </w:p>
    <w:p w14:paraId="49BF71C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507DF9E6"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Compõem as notas explicativas as seguintes demonstrações contábeis:</w:t>
      </w:r>
    </w:p>
    <w:p w14:paraId="0BE8D562" w14:textId="77777777" w:rsidR="00CB2FF5" w:rsidRPr="00F02ABE" w:rsidRDefault="00CB2FF5" w:rsidP="00CB2FF5">
      <w:pPr>
        <w:numPr>
          <w:ilvl w:val="0"/>
          <w:numId w:val="2"/>
        </w:num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Balanço Patrimonial (BP);</w:t>
      </w:r>
    </w:p>
    <w:p w14:paraId="7E4EC87F" w14:textId="77777777" w:rsidR="00CB2FF5" w:rsidRPr="00F02ABE" w:rsidRDefault="00CB2FF5" w:rsidP="00CB2FF5">
      <w:pPr>
        <w:numPr>
          <w:ilvl w:val="0"/>
          <w:numId w:val="2"/>
        </w:num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Demonstração das Variações Patrimoniais (DVP);</w:t>
      </w:r>
    </w:p>
    <w:p w14:paraId="2F6E9D4F" w14:textId="77777777" w:rsidR="00CB2FF5" w:rsidRPr="00F02ABE" w:rsidRDefault="00CB2FF5" w:rsidP="00CB2FF5">
      <w:pPr>
        <w:numPr>
          <w:ilvl w:val="0"/>
          <w:numId w:val="2"/>
        </w:num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Balanço Orçamentário (BO);</w:t>
      </w:r>
    </w:p>
    <w:p w14:paraId="4195AC34" w14:textId="77777777" w:rsidR="00CB2FF5" w:rsidRPr="00F02ABE" w:rsidRDefault="00CB2FF5" w:rsidP="00CB2FF5">
      <w:pPr>
        <w:numPr>
          <w:ilvl w:val="0"/>
          <w:numId w:val="2"/>
        </w:num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Balanço Financeiro (BF) e</w:t>
      </w:r>
    </w:p>
    <w:p w14:paraId="25FC0BD4" w14:textId="77777777" w:rsidR="00CB2FF5" w:rsidRPr="00F02ABE" w:rsidRDefault="00CB2FF5" w:rsidP="00CB2FF5">
      <w:pPr>
        <w:numPr>
          <w:ilvl w:val="0"/>
          <w:numId w:val="2"/>
        </w:numPr>
        <w:autoSpaceDE w:val="0"/>
        <w:autoSpaceDN w:val="0"/>
        <w:adjustRightInd w:val="0"/>
        <w:spacing w:after="0" w:line="240" w:lineRule="auto"/>
        <w:jc w:val="both"/>
        <w:rPr>
          <w:rFonts w:ascii="Times New Roman" w:hAnsi="Times New Roman"/>
          <w:b/>
          <w:bCs/>
          <w:color w:val="000000"/>
          <w:sz w:val="24"/>
          <w:szCs w:val="24"/>
          <w:lang w:eastAsia="pt-BR"/>
        </w:rPr>
      </w:pPr>
      <w:r w:rsidRPr="00F02ABE">
        <w:rPr>
          <w:rFonts w:ascii="Times New Roman" w:hAnsi="Times New Roman"/>
          <w:color w:val="000000"/>
          <w:sz w:val="24"/>
          <w:szCs w:val="24"/>
          <w:lang w:eastAsia="pt-BR"/>
        </w:rPr>
        <w:lastRenderedPageBreak/>
        <w:t>Demonstração dos Fluxos de Caixa (DFC).</w:t>
      </w:r>
    </w:p>
    <w:p w14:paraId="515E7BB0" w14:textId="77777777" w:rsidR="00CB2FF5" w:rsidRPr="00F02ABE" w:rsidRDefault="00CB2FF5" w:rsidP="00CB2FF5">
      <w:pPr>
        <w:autoSpaceDE w:val="0"/>
        <w:autoSpaceDN w:val="0"/>
        <w:adjustRightInd w:val="0"/>
        <w:spacing w:after="0" w:line="240" w:lineRule="auto"/>
        <w:ind w:left="2421"/>
        <w:jc w:val="both"/>
        <w:rPr>
          <w:rFonts w:ascii="Times New Roman" w:hAnsi="Times New Roman"/>
          <w:b/>
          <w:bCs/>
          <w:color w:val="000000"/>
          <w:sz w:val="24"/>
          <w:szCs w:val="24"/>
          <w:lang w:eastAsia="pt-BR"/>
        </w:rPr>
      </w:pPr>
    </w:p>
    <w:p w14:paraId="33A18EAF" w14:textId="77777777" w:rsidR="00CB2FF5" w:rsidRPr="00F02ABE" w:rsidRDefault="00CB2FF5" w:rsidP="00CB2FF5">
      <w:pPr>
        <w:autoSpaceDE w:val="0"/>
        <w:autoSpaceDN w:val="0"/>
        <w:adjustRightInd w:val="0"/>
        <w:spacing w:after="0" w:line="240" w:lineRule="auto"/>
        <w:ind w:left="2421" w:hanging="720"/>
        <w:jc w:val="both"/>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t>3 - RESUMO DAS PRINCIPAIS PRÁTICAS E CRITÉRIOS CONTÁBEIS</w:t>
      </w:r>
    </w:p>
    <w:p w14:paraId="57EB8C6A" w14:textId="77777777" w:rsidR="00CB2FF5" w:rsidRPr="00F02ABE" w:rsidRDefault="00CB2FF5" w:rsidP="00CB2FF5">
      <w:pPr>
        <w:autoSpaceDE w:val="0"/>
        <w:autoSpaceDN w:val="0"/>
        <w:adjustRightInd w:val="0"/>
        <w:spacing w:after="0" w:line="240" w:lineRule="auto"/>
        <w:ind w:left="1701" w:hanging="1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A estrutura do orçamento público federal é estabelecida pelo Manual Técnico de Orçamento, elaborado pela Secretaria de Orçamento Federal do Ministério do Planejamento, Desenvolvimento e Gestão.</w:t>
      </w:r>
    </w:p>
    <w:p w14:paraId="0276AB3C" w14:textId="77777777" w:rsidR="00CB2FF5" w:rsidRPr="00F02ABE" w:rsidRDefault="00CB2FF5" w:rsidP="00CB2FF5">
      <w:pPr>
        <w:autoSpaceDE w:val="0"/>
        <w:autoSpaceDN w:val="0"/>
        <w:adjustRightInd w:val="0"/>
        <w:spacing w:after="0" w:line="240" w:lineRule="auto"/>
        <w:ind w:left="1701" w:hanging="1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Por sua vez, a Lei Orçamentária Anual – LOA que dispõe sobre a previsão da receita e a fixação da despesa, no âmbito da União, compreende três orçamentos, quais sejam: a) o orçamento fiscal; b) o orçamento da Seguridade Social; e c) o orçamento de investimento das empresas estatais independentes, isto é, aquelas que não dependem de recursos do orçamento fiscal e da seguridade social para a manutenção das suas atividades. Todos os entes federativos elaboram seu próprio orçamento (estados, distrito federal e municípios) e, da mesma forma, a União. Para fins de consolidação das contas públicas, critérios econômicos, contábeis, fiscais, orçamentários, entre outros, os recursos do ente União compreendem o Orçamento Fiscal e da Seguridade Social – OFSS.</w:t>
      </w:r>
    </w:p>
    <w:p w14:paraId="1D93BF6B" w14:textId="77777777" w:rsidR="00CB2FF5" w:rsidRPr="00F02ABE" w:rsidRDefault="00CB2FF5" w:rsidP="00CB2FF5">
      <w:pPr>
        <w:autoSpaceDE w:val="0"/>
        <w:autoSpaceDN w:val="0"/>
        <w:adjustRightInd w:val="0"/>
        <w:spacing w:after="0" w:line="240" w:lineRule="auto"/>
        <w:ind w:left="1701" w:hanging="11"/>
        <w:jc w:val="both"/>
        <w:rPr>
          <w:rFonts w:ascii="Times New Roman" w:hAnsi="Times New Roman"/>
          <w:color w:val="000000"/>
          <w:sz w:val="24"/>
          <w:szCs w:val="24"/>
          <w:lang w:eastAsia="pt-BR"/>
        </w:rPr>
      </w:pPr>
    </w:p>
    <w:p w14:paraId="48231C34" w14:textId="77777777" w:rsidR="00CB2FF5" w:rsidRPr="00F02ABE" w:rsidRDefault="00CB2FF5" w:rsidP="00CB2FF5">
      <w:pPr>
        <w:autoSpaceDE w:val="0"/>
        <w:autoSpaceDN w:val="0"/>
        <w:adjustRightInd w:val="0"/>
        <w:spacing w:after="0" w:line="240" w:lineRule="auto"/>
        <w:ind w:left="1701" w:hanging="11"/>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3.1 Consolidação das demonstrações contábeis</w:t>
      </w:r>
    </w:p>
    <w:p w14:paraId="05FDC771"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O IFPI, administração descentralizada do Governo Federal, adota a metodologia de Consolidação das Demonstrações Contábeis, no momento da escrituração contábil, por meio dos critérios de compensação e de exclusão de itens das demonstrações que compensam ou eliminam, respectivamente, as transações realizadas entre as Unidade Gestoras que o compõem. No Plano de Contas Aplicado ao Setor Público - PCASP, essas operações são realizadas a partir da identificação das contas contábeis que possuem o quinto nível igual a [2] – </w:t>
      </w:r>
      <w:proofErr w:type="spellStart"/>
      <w:r w:rsidRPr="00F02ABE">
        <w:rPr>
          <w:rFonts w:ascii="Times New Roman" w:hAnsi="Times New Roman"/>
          <w:color w:val="000000"/>
          <w:sz w:val="24"/>
          <w:szCs w:val="24"/>
          <w:lang w:eastAsia="pt-BR"/>
        </w:rPr>
        <w:t>Intra</w:t>
      </w:r>
      <w:proofErr w:type="spellEnd"/>
      <w:r w:rsidRPr="00F02ABE">
        <w:rPr>
          <w:rFonts w:ascii="Times New Roman" w:hAnsi="Times New Roman"/>
          <w:color w:val="000000"/>
          <w:sz w:val="24"/>
          <w:szCs w:val="24"/>
          <w:lang w:eastAsia="pt-BR"/>
        </w:rPr>
        <w:t xml:space="preserve"> - OFSS. As regras de compensação são aplicadas às demonstrações: BP; BF; DVP; e DFC.</w:t>
      </w:r>
    </w:p>
    <w:p w14:paraId="73D8F7A4"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Em relação à consolidação do BF e da DFC, faz-se necessário um especial destaque em relação aos saldos de Caixa e Equivalentes de Caixa quando comparados os saldos dessas demonstrações com os apresentados no BP. Os saldos de Caixa e Equivalentes de Caixa do BF e da DFC são apresentados sem consolidação, enquanto que no BP ocorre a apresentação do valor consolidado, isto é, com a compensação entre ativos e passivos de quinto nível 2 – </w:t>
      </w:r>
      <w:proofErr w:type="spellStart"/>
      <w:r w:rsidRPr="00F02ABE">
        <w:rPr>
          <w:rFonts w:ascii="Times New Roman" w:hAnsi="Times New Roman"/>
          <w:color w:val="000000"/>
          <w:sz w:val="24"/>
          <w:szCs w:val="24"/>
          <w:lang w:eastAsia="pt-BR"/>
        </w:rPr>
        <w:t>Intra</w:t>
      </w:r>
      <w:proofErr w:type="spellEnd"/>
      <w:r w:rsidRPr="00F02ABE">
        <w:rPr>
          <w:rFonts w:ascii="Times New Roman" w:hAnsi="Times New Roman"/>
          <w:color w:val="000000"/>
          <w:sz w:val="24"/>
          <w:szCs w:val="24"/>
          <w:lang w:eastAsia="pt-BR"/>
        </w:rPr>
        <w:t>. Isso decorre da dificuldade de segregação dos fluxos exibidos no BF e na DFC, em relação às operações de natureza “</w:t>
      </w:r>
      <w:proofErr w:type="spellStart"/>
      <w:r w:rsidRPr="00F02ABE">
        <w:rPr>
          <w:rFonts w:ascii="Times New Roman" w:hAnsi="Times New Roman"/>
          <w:color w:val="000000"/>
          <w:sz w:val="24"/>
          <w:szCs w:val="24"/>
          <w:lang w:eastAsia="pt-BR"/>
        </w:rPr>
        <w:t>Intra</w:t>
      </w:r>
      <w:proofErr w:type="spellEnd"/>
      <w:r w:rsidRPr="00F02ABE">
        <w:rPr>
          <w:rFonts w:ascii="Times New Roman" w:hAnsi="Times New Roman"/>
          <w:color w:val="000000"/>
          <w:sz w:val="24"/>
          <w:szCs w:val="24"/>
          <w:lang w:eastAsia="pt-BR"/>
        </w:rPr>
        <w:t>”, visto que a lógica de consolidação do modelo PCASP é de saldo de contas e não de fluxos financeiros.</w:t>
      </w:r>
    </w:p>
    <w:p w14:paraId="54A83605" w14:textId="77777777" w:rsidR="00F847C1" w:rsidRDefault="00F847C1"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p>
    <w:p w14:paraId="745E8E2E" w14:textId="27A3DED4"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lastRenderedPageBreak/>
        <w:t>3.2 Conta Única do Governo Federal</w:t>
      </w:r>
    </w:p>
    <w:p w14:paraId="6A81827B"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p>
    <w:p w14:paraId="0577879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Outro aspecto relevante associado às práticas e políticas contábeis, refere-se à execução financeira, tanto no MEC quanto nos demais órgãos públicos federais. Por força do Decreto nº 93.872/1986, todas as receitas e despesas, orçamentárias e extraorçamentárias5, isto é, todos os recebimentos e pagamentos são realizados e controlados em um caixa único, derivado do princípio da unidade de tesouraria, denominado </w:t>
      </w:r>
      <w:r w:rsidRPr="00F02ABE">
        <w:rPr>
          <w:rFonts w:ascii="Times New Roman" w:hAnsi="Times New Roman"/>
          <w:b/>
          <w:bCs/>
          <w:color w:val="000000"/>
          <w:sz w:val="24"/>
          <w:szCs w:val="24"/>
          <w:lang w:eastAsia="pt-BR"/>
        </w:rPr>
        <w:t>Conta Única</w:t>
      </w:r>
      <w:r w:rsidRPr="00F02ABE">
        <w:rPr>
          <w:rFonts w:ascii="Times New Roman" w:hAnsi="Times New Roman"/>
          <w:color w:val="000000"/>
          <w:sz w:val="24"/>
          <w:szCs w:val="24"/>
          <w:lang w:eastAsia="pt-BR"/>
        </w:rPr>
        <w:t>, mantida no Banco Central do Brasil e gerenciada pela Secretaria do Tesouro Nacional.</w:t>
      </w:r>
    </w:p>
    <w:p w14:paraId="559A978E"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26B516A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t>3.3 Ajustes de Exercícios Anteriores</w:t>
      </w:r>
    </w:p>
    <w:p w14:paraId="0C32C602"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p>
    <w:p w14:paraId="12E2FD31"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Há que se ressaltar também a prática contábil utilizada que se denomina Ajustes de Exercícios Anteriores. Esses ajustes compõem a linha de Resultados Acumulados do BP (também composta pelo Resultado do Exercício e pelos Resultados de Exercícios anteriores), que recebem registros tanto positivos quanto diminutivos que afetam diretamente o Patrimônio Líquido do órgão, isto é, sem transitar pelas contas de resultado, por se referir a exercícios encerrados. Cabe destacar que as contas de Ajustes de Exercícios Anteriores têm a finalidade de registrar os efeitos da mudança de critério contábil ou da retificação de erro imputável a exercício anterior que não possam ser atribuídos a fatos subsequentes.</w:t>
      </w:r>
    </w:p>
    <w:p w14:paraId="2917F8B3"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17ACB1D6"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t>3.4 Recursos orçamentários x recursos financeiros</w:t>
      </w:r>
    </w:p>
    <w:p w14:paraId="572F2B2B"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p>
    <w:p w14:paraId="4797F4F3"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Na Contabilidade Pública, recursos orçamentários e recursos financeiros são figuras distintas. O “orçamento público é o instrumento pelo qual o governo estima as receitas e fixa as despesas para poder controlar as finanças públicas e executar as ações governamentais”. (</w:t>
      </w:r>
      <w:r w:rsidRPr="00F02ABE">
        <w:rPr>
          <w:rFonts w:ascii="Times New Roman" w:hAnsi="Times New Roman"/>
          <w:sz w:val="24"/>
          <w:szCs w:val="24"/>
          <w:lang w:eastAsia="pt-BR"/>
        </w:rPr>
        <w:t>http://www.transparencia.gov.br/</w:t>
      </w:r>
      <w:proofErr w:type="spellStart"/>
      <w:r w:rsidRPr="00F02ABE">
        <w:rPr>
          <w:rFonts w:ascii="Times New Roman" w:hAnsi="Times New Roman"/>
          <w:sz w:val="24"/>
          <w:szCs w:val="24"/>
          <w:lang w:eastAsia="pt-BR"/>
        </w:rPr>
        <w:t>glossario</w:t>
      </w:r>
      <w:proofErr w:type="spellEnd"/>
      <w:r w:rsidRPr="00F02ABE">
        <w:rPr>
          <w:rFonts w:ascii="Times New Roman" w:hAnsi="Times New Roman"/>
          <w:sz w:val="24"/>
          <w:szCs w:val="24"/>
          <w:lang w:eastAsia="pt-BR"/>
        </w:rPr>
        <w:t>/)</w:t>
      </w:r>
    </w:p>
    <w:p w14:paraId="2B9CF06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563C2"/>
          <w:sz w:val="24"/>
          <w:szCs w:val="24"/>
          <w:lang w:eastAsia="pt-BR"/>
        </w:rPr>
      </w:pPr>
      <w:r w:rsidRPr="00F02ABE">
        <w:rPr>
          <w:rFonts w:ascii="Times New Roman" w:hAnsi="Times New Roman"/>
          <w:color w:val="000000"/>
          <w:sz w:val="24"/>
          <w:szCs w:val="24"/>
          <w:lang w:eastAsia="pt-BR"/>
        </w:rPr>
        <w:t xml:space="preserve">Os recursos financeiros decorrem da arrecadação das receitas (tributos) pelos entes públicos. A estimativa das receitas e das despesas é feita com base no comportamento da arrecadação ocorrida em exercícios anteriores. A previsão e a utilização de recursos públicos dependem de autorização legislativa, isto é, de uma lei, a denominada Lei Orçamentária Anual (LOA). Para maior entendimento, pode-se definir execução orçamentária como sendo a utilização dos créditos consignados no orçamento ou Lei Orçamentária Anual (LOA). Já a execução financeira, por sua vez, representa a utilização de recursos financeiros, visando </w:t>
      </w:r>
      <w:r w:rsidRPr="00F02ABE">
        <w:rPr>
          <w:rFonts w:ascii="Times New Roman" w:hAnsi="Times New Roman"/>
          <w:color w:val="000000"/>
          <w:sz w:val="24"/>
          <w:szCs w:val="24"/>
          <w:lang w:eastAsia="pt-BR"/>
        </w:rPr>
        <w:lastRenderedPageBreak/>
        <w:t xml:space="preserve">atender a realização dos projetos e/ou atividades atribuídas às unidades orçamentárias pelo orçamento. A execução orçamentária está atrelada à execução financeira e vice-versa, pois havendo orçamento e não existindo o financeiro, não poderá ocorrer a despesa e por outro lado, pode haver recurso financeiro que não poderá ser gasto, caso não haja disponibilidade orçamentária”. </w:t>
      </w:r>
      <w:r w:rsidRPr="00F02ABE">
        <w:rPr>
          <w:rFonts w:ascii="Times New Roman" w:hAnsi="Times New Roman"/>
          <w:sz w:val="24"/>
          <w:szCs w:val="24"/>
          <w:lang w:eastAsia="pt-BR"/>
        </w:rPr>
        <w:t>(http://www.conass.org.br)</w:t>
      </w:r>
    </w:p>
    <w:p w14:paraId="3EC0AA3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563C2"/>
          <w:sz w:val="24"/>
          <w:szCs w:val="24"/>
          <w:lang w:eastAsia="pt-BR"/>
        </w:rPr>
      </w:pPr>
      <w:r w:rsidRPr="00F02ABE">
        <w:rPr>
          <w:rFonts w:ascii="Times New Roman" w:hAnsi="Times New Roman"/>
          <w:color w:val="000000"/>
          <w:sz w:val="24"/>
          <w:szCs w:val="24"/>
          <w:lang w:eastAsia="pt-BR"/>
        </w:rPr>
        <w:t>Assim, mesmo estando a despesa fixada no orçamento, a sua execução está condicionada à arrecadação das receitas no decorrer do exercício financeiro. Havendo frustração na arrecadação das receitas, o governo precisa conter a execução orçamentária, ou seja, reduzir a emissão de empenhos (créditos orçamentários). A “despesa pública é a aplicação (em dinheiro) de recursos do Estado para custear os serviços de ordem pública ou para investir no próprio desenvolvimento econômico do Estado. É o compromisso de gasto dos recursos públicos, autorizados pelo Poder competente, com o fim de atender a uma necessidade da coletividade prevista no orçamento”. (</w:t>
      </w:r>
      <w:hyperlink r:id="rId11" w:history="1">
        <w:r w:rsidRPr="00F02ABE">
          <w:rPr>
            <w:rStyle w:val="Hyperlink"/>
            <w:rFonts w:ascii="Times New Roman" w:hAnsi="Times New Roman"/>
            <w:sz w:val="24"/>
            <w:szCs w:val="24"/>
            <w:lang w:eastAsia="pt-BR"/>
          </w:rPr>
          <w:t>http://www.transparencia.gov.br/glossario</w:t>
        </w:r>
      </w:hyperlink>
      <w:r w:rsidRPr="00F02ABE">
        <w:rPr>
          <w:rFonts w:ascii="Times New Roman" w:hAnsi="Times New Roman"/>
          <w:color w:val="0563C2"/>
          <w:sz w:val="24"/>
          <w:szCs w:val="24"/>
          <w:lang w:eastAsia="pt-BR"/>
        </w:rPr>
        <w:t>)</w:t>
      </w:r>
    </w:p>
    <w:p w14:paraId="004EDC4C"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563C2"/>
          <w:sz w:val="24"/>
          <w:szCs w:val="24"/>
          <w:lang w:eastAsia="pt-BR"/>
        </w:rPr>
      </w:pPr>
    </w:p>
    <w:p w14:paraId="6C65FAB1"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t>3.5 Restos a Pagar</w:t>
      </w:r>
    </w:p>
    <w:p w14:paraId="1F4F432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De acordo com a Lei nº 4.320/1964, os Restos a Pagar correspondem às despesas empenhadas, mas que não foram pagas até 31 de dezembro do exercício financeiro correspondente, por não ter havido a entrega, em tempo hábil, dos produtos adquiridos ou da prestação integral dos serviços. No encerramento de cada exercício financeiro, essas despesas devem ser registradas contabilmente como obrigações a pagar do exercício seguinte (“resíduos passivos”); e serão financiadas à conta de recursos arrecadados durante o exercício financeiro em que ocorreu a emissão do empenho.(</w:t>
      </w:r>
      <w:r w:rsidRPr="00F02ABE">
        <w:rPr>
          <w:rFonts w:ascii="Times New Roman" w:hAnsi="Times New Roman"/>
          <w:sz w:val="24"/>
          <w:szCs w:val="24"/>
          <w:lang w:eastAsia="pt-BR"/>
        </w:rPr>
        <w:t>http://portal.tcu.gov.br/).</w:t>
      </w:r>
    </w:p>
    <w:p w14:paraId="3ECFF1C8"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Portanto, Restos a Pagar, referem-se a dívidas resultantes de compromissos gerados em exercícios financeiros anteriores àquele em que deveria ocorrer o pagamento.</w:t>
      </w:r>
    </w:p>
    <w:p w14:paraId="4A7B4B7D"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770BDF56"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t>4. DETALHAMENTO DOS CRITÉRIOS CONTÁBEIS ADOTADOS NA ADMINISTRAÇÃO PÚBLICA FEDERAL</w:t>
      </w:r>
    </w:p>
    <w:p w14:paraId="1D83D9C9"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A seguir são apresentados os principais critérios contábeis adotados no âmbito do MEC, como também nos demais órgãos públicos federais, tendo por base as normas contábeis e a classificação concebida pelo Plano de Contas Aplicado ao Setor Público - PCASP.</w:t>
      </w:r>
    </w:p>
    <w:p w14:paraId="6646AB1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a) Moeda funcional</w:t>
      </w:r>
    </w:p>
    <w:p w14:paraId="401E7E9A"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A moeda funcional da União é o Real.</w:t>
      </w:r>
    </w:p>
    <w:p w14:paraId="6CEBAD5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b) Caixa e equivalentes de caixa</w:t>
      </w:r>
    </w:p>
    <w:p w14:paraId="2865C2D1"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lastRenderedPageBreak/>
        <w:t>Incluem dinheiro em caixa, conta única, demais depósitos bancários e aplicações de liquidez imediata. Os valores são mensurados e avaliados pelo valor de custo e, quando aplicável, são acrescidos dos rendimentos auferidos até a data das demonstrações contábeis.</w:t>
      </w:r>
    </w:p>
    <w:p w14:paraId="62EF881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c) Créditos a Curto Prazo</w:t>
      </w:r>
    </w:p>
    <w:p w14:paraId="1A44D51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Compreendem os direitos a receber a curto prazo relacionados, principalmente, com: créditos não tributários; dívida ativa; transferências concedidas; e valores a compensar. Os valores são mensurados e avaliados pelo valor original, acrescido das atualizações monetárias e juros.</w:t>
      </w:r>
    </w:p>
    <w:p w14:paraId="5DAF9B0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d) Investimentos e aplicações temporárias a curto prazo</w:t>
      </w:r>
    </w:p>
    <w:p w14:paraId="34DC8822"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São as aplicações de recursos em títulos e valores mobiliários, não destinadas à negociação e que não fazem parte das atividades operacionais do órgão. Os valores são avaliados e mensurados pelo valor de custo e, quando aplicável, são acrescidos dos rendimentos auferidos até a data das demonstrações contábeis. O IFPI não realiza investimentos e aplicações temporárias a curto prazo.</w:t>
      </w:r>
    </w:p>
    <w:p w14:paraId="0B5F5998"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e) Estoques</w:t>
      </w:r>
    </w:p>
    <w:p w14:paraId="63FCDC81"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Compreendem as mercadorias para revenda (entre elas, os livros publicados pelas editoras universitárias), os produtos acabados e os em elaboração, almoxarifado e adiantamento a fornecedores. Na entrada, esses bens são avaliados pelo valor de aquisição ou produção /construção.</w:t>
      </w:r>
    </w:p>
    <w:p w14:paraId="76A43B38"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O método para mensuração e avaliação das saídas dos estoques é o custo médio ponderado. Há, também, a possibilidade de redução de valores do estoque, mediante as contas para ajustes para perdas ou para redução ao valor de mercado, quando o valor registrado estiver superior ao valor de mercado.</w:t>
      </w:r>
    </w:p>
    <w:p w14:paraId="1580C4F0"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f) Ativo Realizável a Longo Prazo</w:t>
      </w:r>
    </w:p>
    <w:p w14:paraId="080FECC1"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Compreendem os direitos a receber a longo prazo principalmente com: créditos não tributários; dívida ativa; empréstimos e financiamentos concedidos; investimentos temporários; e estoques. Os valores são avaliados e mensurados pelo valor original e, quando aplicável, são acrescidos das atualizações e correções monetárias, de acordo com as taxas especificadas nas respectivas operações.</w:t>
      </w:r>
    </w:p>
    <w:p w14:paraId="65FA591D"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g) Imobilizado</w:t>
      </w:r>
    </w:p>
    <w:p w14:paraId="5039A5CB"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lastRenderedPageBreak/>
        <w:t>O imobilizado é composto pelos bens móveis e imóveis. É reconhecido inicialmente com base no valor de aquisição, construção ou produção. Após o reconhecimento inicial, ficam sujeitos à depreciação, amortização ou exaustão (quando tiverem vida útil definida), bem como à redução ao valor recuperável e à reavaliação.</w:t>
      </w:r>
    </w:p>
    <w:p w14:paraId="4E9A4B0A"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w:t>
      </w:r>
    </w:p>
    <w:p w14:paraId="103DA6DC"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283712CD"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63D903E2"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h) Intangíveis</w:t>
      </w:r>
    </w:p>
    <w:p w14:paraId="1776E4E6"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color w:val="000000"/>
          <w:sz w:val="24"/>
          <w:szCs w:val="24"/>
          <w:lang w:eastAsia="pt-BR"/>
        </w:rPr>
      </w:pPr>
      <w:r w:rsidRPr="00F02ABE">
        <w:rPr>
          <w:rFonts w:ascii="Times New Roman" w:hAnsi="Times New Roman"/>
          <w:color w:val="000000"/>
          <w:sz w:val="24"/>
          <w:szCs w:val="24"/>
          <w:lang w:eastAsia="pt-BR"/>
        </w:rPr>
        <w:t xml:space="preserve">Os direitos que tenham por objeto bens incorpóreos, destinados à manutenção da atividade pública ou exercidos com essa finalidade, são mensurados ou avaliados com base no valor de aquisição ou de produção, deduzido o saldo da respectiva conta de amortização acumulada (quando tiverem vida útil definida) e o montante acumulado de quaisquer perdas do valor que tenham sofrido ao longo de sua vida útil por redução ao valor recuperável </w:t>
      </w:r>
      <w:r w:rsidRPr="00F02ABE">
        <w:rPr>
          <w:rFonts w:ascii="Times New Roman" w:hAnsi="Times New Roman"/>
          <w:i/>
          <w:iCs/>
          <w:color w:val="000000"/>
          <w:sz w:val="24"/>
          <w:szCs w:val="24"/>
          <w:lang w:eastAsia="pt-BR"/>
        </w:rPr>
        <w:t>(</w:t>
      </w:r>
      <w:proofErr w:type="spellStart"/>
      <w:r w:rsidRPr="00F02ABE">
        <w:rPr>
          <w:rFonts w:ascii="Times New Roman" w:hAnsi="Times New Roman"/>
          <w:i/>
          <w:iCs/>
          <w:color w:val="000000"/>
          <w:sz w:val="24"/>
          <w:szCs w:val="24"/>
          <w:lang w:eastAsia="pt-BR"/>
        </w:rPr>
        <w:t>impairment</w:t>
      </w:r>
      <w:proofErr w:type="spellEnd"/>
      <w:r w:rsidRPr="00F02ABE">
        <w:rPr>
          <w:rFonts w:ascii="Times New Roman" w:hAnsi="Times New Roman"/>
          <w:i/>
          <w:iCs/>
          <w:color w:val="000000"/>
          <w:sz w:val="24"/>
          <w:szCs w:val="24"/>
          <w:lang w:eastAsia="pt-BR"/>
        </w:rPr>
        <w:t>).</w:t>
      </w:r>
    </w:p>
    <w:p w14:paraId="4737FF54"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No âmbito do IFPI, a grande maioria dos intangíveis está relacionada a Softwares, os chamados softwares de prateleira.</w:t>
      </w:r>
    </w:p>
    <w:p w14:paraId="4A4B270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 xml:space="preserve">i) Depreciação, amortização ou exaustão de bens imóveis não cadastrados no </w:t>
      </w:r>
      <w:proofErr w:type="spellStart"/>
      <w:r w:rsidRPr="00F02ABE">
        <w:rPr>
          <w:rFonts w:ascii="Times New Roman" w:hAnsi="Times New Roman"/>
          <w:i/>
          <w:iCs/>
          <w:sz w:val="24"/>
          <w:szCs w:val="24"/>
          <w:lang w:eastAsia="pt-BR"/>
        </w:rPr>
        <w:t>SPIUnet</w:t>
      </w:r>
      <w:proofErr w:type="spellEnd"/>
      <w:r w:rsidRPr="00F02ABE">
        <w:rPr>
          <w:rFonts w:ascii="Times New Roman" w:hAnsi="Times New Roman"/>
          <w:sz w:val="24"/>
          <w:szCs w:val="24"/>
          <w:lang w:eastAsia="pt-BR"/>
        </w:rPr>
        <w:t xml:space="preserve"> </w:t>
      </w:r>
      <w:r w:rsidRPr="00F02ABE">
        <w:rPr>
          <w:rFonts w:ascii="Times New Roman" w:hAnsi="Times New Roman"/>
          <w:i/>
          <w:iCs/>
          <w:sz w:val="24"/>
          <w:szCs w:val="24"/>
          <w:lang w:eastAsia="pt-BR"/>
        </w:rPr>
        <w:t>e bens móveis</w:t>
      </w:r>
    </w:p>
    <w:p w14:paraId="402659B8"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A base de cálculo para a depreciação, a amortização e a exaustão é o custo do ativo imobilizado, compreendendo tanto os custos diretos como os indiretos. O método de cálculo dos encargos de depreciação é aplicável a toda a Administração Pública direta, autárquica e fundacional para os bens imóveis que não são cadastrados no </w:t>
      </w:r>
      <w:proofErr w:type="spellStart"/>
      <w:r w:rsidRPr="00F02ABE">
        <w:rPr>
          <w:rFonts w:ascii="Times New Roman" w:hAnsi="Times New Roman"/>
          <w:color w:val="000000"/>
          <w:sz w:val="24"/>
          <w:szCs w:val="24"/>
          <w:lang w:eastAsia="pt-BR"/>
        </w:rPr>
        <w:t>SPIUnet</w:t>
      </w:r>
      <w:proofErr w:type="spellEnd"/>
      <w:r w:rsidRPr="00F02ABE">
        <w:rPr>
          <w:rFonts w:ascii="Times New Roman" w:hAnsi="Times New Roman"/>
          <w:color w:val="000000"/>
          <w:sz w:val="24"/>
          <w:szCs w:val="24"/>
          <w:lang w:eastAsia="pt-BR"/>
        </w:rPr>
        <w:t xml:space="preserve"> e para os bens móveis é o das quotas constantes.</w:t>
      </w:r>
    </w:p>
    <w:p w14:paraId="1A4CB792"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Como regra geral, a depreciação dos bens imóveis não cadastrados no </w:t>
      </w:r>
      <w:proofErr w:type="spellStart"/>
      <w:r w:rsidRPr="00F02ABE">
        <w:rPr>
          <w:rFonts w:ascii="Times New Roman" w:hAnsi="Times New Roman"/>
          <w:color w:val="000000"/>
          <w:sz w:val="24"/>
          <w:szCs w:val="24"/>
          <w:lang w:eastAsia="pt-BR"/>
        </w:rPr>
        <w:t>SPIUnet</w:t>
      </w:r>
      <w:proofErr w:type="spellEnd"/>
      <w:r w:rsidRPr="00F02ABE">
        <w:rPr>
          <w:rFonts w:ascii="Times New Roman" w:hAnsi="Times New Roman"/>
          <w:color w:val="000000"/>
          <w:sz w:val="24"/>
          <w:szCs w:val="24"/>
          <w:lang w:eastAsia="pt-BR"/>
        </w:rPr>
        <w:t xml:space="preserve"> e a dos bens móveis deve ser iniciada a partir do primeiro dia do mês seguinte à data da colocação do bem em utilização. Porém, quando o valor do bem adquirido e o valor da depreciação no primeiro mês sejam relevantes, admite-se, em caráter de exceção, o cômputo da depreciação em fração menor do que um mês.</w:t>
      </w:r>
    </w:p>
    <w:p w14:paraId="0C2B19B5"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 xml:space="preserve">j) Depreciação de bens imóveis cadastrados no </w:t>
      </w:r>
      <w:proofErr w:type="spellStart"/>
      <w:r w:rsidRPr="00F02ABE">
        <w:rPr>
          <w:rFonts w:ascii="Times New Roman" w:hAnsi="Times New Roman"/>
          <w:i/>
          <w:iCs/>
          <w:sz w:val="24"/>
          <w:szCs w:val="24"/>
          <w:lang w:eastAsia="pt-BR"/>
        </w:rPr>
        <w:t>SPIUnet</w:t>
      </w:r>
      <w:proofErr w:type="spellEnd"/>
    </w:p>
    <w:p w14:paraId="6C85FB09"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A vida útil é definida com base no laudo de avaliação específica ou, na sua ausência, por parâmetros predefinidos pela Secretaria de Patrimônio da União (SPU) segundo a natureza e as características dos bens imóveis. Nos casos de bens reavaliados, independentemente do fundamento, a depreciação acumulada deve ser zerada e reiniciada a partir do novo valor.</w:t>
      </w:r>
    </w:p>
    <w:p w14:paraId="6AFC70A4"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lastRenderedPageBreak/>
        <w:t xml:space="preserve">O valor depreciado dos bens imóveis do MEC, que abrange autarquias (universidades, institutos federais, FNDE e Colégio Pedro II); e das fundações públicas federais (universidades, Fundação Joaquim Nabuco, CAPES) é apurado mensal e automaticamente pelo sistema </w:t>
      </w:r>
      <w:proofErr w:type="spellStart"/>
      <w:r w:rsidRPr="00F02ABE">
        <w:rPr>
          <w:rFonts w:ascii="Times New Roman" w:hAnsi="Times New Roman"/>
          <w:color w:val="000000"/>
          <w:sz w:val="24"/>
          <w:szCs w:val="24"/>
          <w:lang w:eastAsia="pt-BR"/>
        </w:rPr>
        <w:t>SPIUnet</w:t>
      </w:r>
      <w:proofErr w:type="spellEnd"/>
      <w:r w:rsidRPr="00F02ABE">
        <w:rPr>
          <w:rFonts w:ascii="Times New Roman" w:hAnsi="Times New Roman"/>
          <w:color w:val="000000"/>
          <w:sz w:val="24"/>
          <w:szCs w:val="24"/>
          <w:lang w:eastAsia="pt-BR"/>
        </w:rPr>
        <w:t xml:space="preserve"> sobre o valor depreciável da acessão, utilizando-se, para tanto, o Método da Parábola de </w:t>
      </w:r>
      <w:proofErr w:type="spellStart"/>
      <w:r w:rsidRPr="00F02ABE">
        <w:rPr>
          <w:rFonts w:ascii="Times New Roman" w:hAnsi="Times New Roman"/>
          <w:i/>
          <w:iCs/>
          <w:color w:val="000000"/>
          <w:sz w:val="24"/>
          <w:szCs w:val="24"/>
          <w:lang w:eastAsia="pt-BR"/>
        </w:rPr>
        <w:t>Kuentzle</w:t>
      </w:r>
      <w:proofErr w:type="spellEnd"/>
      <w:r w:rsidRPr="00F02ABE">
        <w:rPr>
          <w:rFonts w:ascii="Times New Roman" w:hAnsi="Times New Roman"/>
          <w:color w:val="000000"/>
          <w:sz w:val="24"/>
          <w:szCs w:val="24"/>
          <w:lang w:eastAsia="pt-BR"/>
        </w:rPr>
        <w:t>, e a depreciação será iniciada no mesmo dia em que o bem for colocado em condições de uso.</w:t>
      </w:r>
    </w:p>
    <w:p w14:paraId="717A44D4"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k)Passivos Circulantes e Não Circulantes</w:t>
      </w:r>
    </w:p>
    <w:p w14:paraId="7AAF5F9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As obrigações do são evidenciadas por valores conhecidos ou calculáveis, acrescidos, quando aplicável, dos correspondentes encargos das variações monetárias e cambiais ocorridas até a data das demonstrações contábeis.</w:t>
      </w:r>
    </w:p>
    <w:p w14:paraId="34F31752"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Com exceção do resultado diferido (presente somente no passivo não circulant</w:t>
      </w:r>
      <w:r>
        <w:rPr>
          <w:rFonts w:ascii="Times New Roman" w:hAnsi="Times New Roman"/>
          <w:color w:val="000000"/>
          <w:sz w:val="24"/>
          <w:szCs w:val="24"/>
          <w:lang w:eastAsia="pt-BR"/>
        </w:rPr>
        <w:t>,0</w:t>
      </w:r>
      <w:r w:rsidRPr="00F02ABE">
        <w:rPr>
          <w:rFonts w:ascii="Times New Roman" w:hAnsi="Times New Roman"/>
          <w:color w:val="000000"/>
          <w:sz w:val="24"/>
          <w:szCs w:val="24"/>
          <w:lang w:eastAsia="pt-BR"/>
        </w:rPr>
        <w:t xml:space="preserve">e), os passivos circulante e não circulante apresentam a seguinte divisão: obrigações trabalhistas, previdenciárias e </w:t>
      </w:r>
      <w:proofErr w:type="spellStart"/>
      <w:r w:rsidRPr="00F02ABE">
        <w:rPr>
          <w:rFonts w:ascii="Times New Roman" w:hAnsi="Times New Roman"/>
          <w:color w:val="000000"/>
          <w:sz w:val="24"/>
          <w:szCs w:val="24"/>
          <w:lang w:eastAsia="pt-BR"/>
        </w:rPr>
        <w:t>assis</w:t>
      </w:r>
      <w:proofErr w:type="spellEnd"/>
      <w:r>
        <w:rPr>
          <w:rFonts w:ascii="Times New Roman" w:hAnsi="Times New Roman"/>
          <w:color w:val="000000"/>
          <w:sz w:val="24"/>
          <w:szCs w:val="24"/>
          <w:lang w:eastAsia="pt-BR"/>
        </w:rPr>
        <w:t>/</w:t>
      </w:r>
      <w:proofErr w:type="spellStart"/>
      <w:r w:rsidRPr="00F02ABE">
        <w:rPr>
          <w:rFonts w:ascii="Times New Roman" w:hAnsi="Times New Roman"/>
          <w:color w:val="000000"/>
          <w:sz w:val="24"/>
          <w:szCs w:val="24"/>
          <w:lang w:eastAsia="pt-BR"/>
        </w:rPr>
        <w:t>tenciais</w:t>
      </w:r>
      <w:proofErr w:type="spellEnd"/>
      <w:r w:rsidRPr="00F02ABE">
        <w:rPr>
          <w:rFonts w:ascii="Times New Roman" w:hAnsi="Times New Roman"/>
          <w:color w:val="000000"/>
          <w:sz w:val="24"/>
          <w:szCs w:val="24"/>
          <w:lang w:eastAsia="pt-BR"/>
        </w:rPr>
        <w:t>; empréstimos e financiamentos; fornecedores e contas a pagar; obrigações fiscais; obrigações de repartições a outros entes; provisões; e demais obrigações.</w:t>
      </w:r>
    </w:p>
    <w:p w14:paraId="6CD27B2E"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l) Provisões</w:t>
      </w:r>
    </w:p>
    <w:p w14:paraId="61CC7E1B"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Provisões são obrigações presentes, derivadas de eventos passados, cujos pagamentos se esperam que resultem para a entidade saídas de recursos capazes de gerar benefícios econômicos ou potencial de serviços, e que possuem prazo ou valor incerto. As provisões estão segregadas em seis categorias: riscos trabalhistas; riscos fiscais; riscos cíveis; repartição de créditos tributários; provisões matemáticas; e outras. As provisões são reconhecidas quando a possibilidade de saída de recursos no futuro é provável, e é possível a estimação confiável do seu valor. São atualizadas até a data das demonstrações contábeis pelo montante provável de perda, observadas suas naturezas e os relatórios técnicos emitidos pelas áreas responsáveis. As provisões referentes às ações judiciais, nas quais a União figura diretamente no polo passivo, estão em conformidade com a Portaria AGU nº 40, de 10 de fevereiro de 2015, combinada com a Portaria Conjunta STN/PGF10, nº 8 de 30 de dezembro de 2015.</w:t>
      </w:r>
    </w:p>
    <w:p w14:paraId="7D0ECF4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3C34136B"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34D9C451" w14:textId="77777777" w:rsidR="00CB2FF5" w:rsidRPr="00F02ABE" w:rsidRDefault="00CB2FF5" w:rsidP="00CB2FF5">
      <w:pPr>
        <w:autoSpaceDE w:val="0"/>
        <w:autoSpaceDN w:val="0"/>
        <w:adjustRightInd w:val="0"/>
        <w:spacing w:after="0" w:line="240" w:lineRule="auto"/>
        <w:ind w:firstLine="1701"/>
        <w:jc w:val="both"/>
        <w:rPr>
          <w:rFonts w:ascii="Times New Roman" w:hAnsi="Times New Roman"/>
          <w:i/>
          <w:iCs/>
          <w:sz w:val="24"/>
          <w:szCs w:val="24"/>
          <w:lang w:eastAsia="pt-BR"/>
        </w:rPr>
      </w:pPr>
      <w:r w:rsidRPr="00F02ABE">
        <w:rPr>
          <w:rFonts w:ascii="Times New Roman" w:hAnsi="Times New Roman"/>
          <w:i/>
          <w:iCs/>
          <w:sz w:val="24"/>
          <w:szCs w:val="24"/>
          <w:lang w:eastAsia="pt-BR"/>
        </w:rPr>
        <w:t>m) Ativos e Passivos Contingentes</w:t>
      </w:r>
    </w:p>
    <w:p w14:paraId="214D261A"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Os ativos e passivos contingentes não são reconhecidos nas demonstrações contábeis. Quando relevantes, são registrados em contas e controle e evidenciados em notas explicativas. Ativo contingente é um ativo possível resultante de eventos passados e cuja existência será confirmada apenas pela ocorrência ou não de um ou mais eventos futuros incertos que não estão totalmente sob o controle da entidade. O IFPI não possui passivos contingentes.</w:t>
      </w:r>
    </w:p>
    <w:p w14:paraId="27BB82A5" w14:textId="77777777" w:rsidR="00CB2FF5" w:rsidRPr="00F02ABE" w:rsidRDefault="00CB2FF5" w:rsidP="00CB2FF5">
      <w:pPr>
        <w:autoSpaceDE w:val="0"/>
        <w:autoSpaceDN w:val="0"/>
        <w:adjustRightInd w:val="0"/>
        <w:spacing w:after="0" w:line="240" w:lineRule="auto"/>
        <w:ind w:left="1701"/>
        <w:jc w:val="both"/>
        <w:rPr>
          <w:rFonts w:ascii="Times New Roman" w:hAnsi="Times New Roman"/>
          <w:i/>
          <w:iCs/>
          <w:sz w:val="24"/>
          <w:szCs w:val="24"/>
          <w:lang w:eastAsia="pt-BR"/>
        </w:rPr>
      </w:pPr>
      <w:r w:rsidRPr="00F02ABE">
        <w:rPr>
          <w:rFonts w:ascii="Times New Roman" w:hAnsi="Times New Roman"/>
          <w:i/>
          <w:iCs/>
          <w:sz w:val="24"/>
          <w:szCs w:val="24"/>
          <w:lang w:eastAsia="pt-BR"/>
        </w:rPr>
        <w:t>n) Apuração do resultado</w:t>
      </w:r>
    </w:p>
    <w:p w14:paraId="5F8FCD8E"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lastRenderedPageBreak/>
        <w:t>No modelo PCASP, é possível a apuração dos seguintes resultados:</w:t>
      </w:r>
    </w:p>
    <w:p w14:paraId="2ACDA3B8"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I. Patrimonial;</w:t>
      </w:r>
    </w:p>
    <w:p w14:paraId="2E0E893C"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II. Orçamentário; e</w:t>
      </w:r>
    </w:p>
    <w:p w14:paraId="7EB38FE5"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III. Financeiro.</w:t>
      </w:r>
    </w:p>
    <w:p w14:paraId="49A440D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3D598E71" w14:textId="77777777" w:rsidR="00CB2FF5" w:rsidRPr="00F02ABE" w:rsidRDefault="00CB2FF5" w:rsidP="00CB2FF5">
      <w:pPr>
        <w:numPr>
          <w:ilvl w:val="0"/>
          <w:numId w:val="3"/>
        </w:numPr>
        <w:autoSpaceDE w:val="0"/>
        <w:autoSpaceDN w:val="0"/>
        <w:adjustRightInd w:val="0"/>
        <w:spacing w:after="0" w:line="240" w:lineRule="auto"/>
        <w:jc w:val="both"/>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t>Resultado patrimonial</w:t>
      </w:r>
    </w:p>
    <w:p w14:paraId="2FBA6051" w14:textId="77777777" w:rsidR="00CB2FF5" w:rsidRPr="00F02ABE" w:rsidRDefault="00CB2FF5" w:rsidP="00CB2FF5">
      <w:pPr>
        <w:autoSpaceDE w:val="0"/>
        <w:autoSpaceDN w:val="0"/>
        <w:adjustRightInd w:val="0"/>
        <w:spacing w:after="0" w:line="240" w:lineRule="auto"/>
        <w:ind w:left="2061"/>
        <w:jc w:val="both"/>
        <w:rPr>
          <w:rFonts w:ascii="Times New Roman" w:hAnsi="Times New Roman"/>
          <w:b/>
          <w:bCs/>
          <w:color w:val="000000"/>
          <w:sz w:val="24"/>
          <w:szCs w:val="24"/>
          <w:lang w:eastAsia="pt-BR"/>
        </w:rPr>
      </w:pPr>
    </w:p>
    <w:p w14:paraId="1C0DC00C"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A apuração do resultado patrimonial consiste na confrontação das variações patrimoniais aumentativas (VPA) com as variações patrimoniais diminutivas (VPD) constantes da Demonstração das Variações Patrimoniais. A DVP evidencia as alterações (mutações)</w:t>
      </w:r>
    </w:p>
    <w:p w14:paraId="568D3DD0"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verificadas no patrimônio, resultantes ou independentes da execução orçamentária, e indicará o resultado patrimonial do exercício que passa a compor o saldo patrimonial do Balanço Patrimonial. As VPA são reconhecidas quando for provável que benefícios econômicos fluirão para o IFPI e quando puderem ser mensuradas confiavelmente, utilizando-se a lógica do regime de competência. A exceção se refere às receitas tributárias e às transferências recebidas, que seguem a lógica do regime de caixa, o que é permitido de acordo com o modelo PCASP, em atendimento à Lei nº 4.320/1964.</w:t>
      </w:r>
    </w:p>
    <w:p w14:paraId="038929E9"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As VPD são reconhecidas quando for provável que ocorrerá decréscimos nos benefícios econômicos para o IFPI, implicando em saída de recursos ou em redução de ativos ou na assunção de passivos, seguindo a lógica do regime de competência. A exceção se refere às despesas oriundas da restituição de receitas tributárias e às transferências concedidas, que seguem a lógica do regime de caixa, o que é permitido de acordo com o modelo PCASP, em atendimento à Lei nº 4.320/1964.</w:t>
      </w:r>
    </w:p>
    <w:p w14:paraId="40197EDA"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A apuração do resultado se dá pelo encerramento das contas de VPA e VPD, em contrapartida a uma conta de apuração. Após esse processo, o Resultado obtido é transferido para conta de Superávit/Déficit do Exercício, evidenciada no Patrimônio Líquido do órgão. O detalhamento do confronto entre VPA e VPD é apresentado na Demonstração das Variações Patrimoniais.</w:t>
      </w:r>
    </w:p>
    <w:p w14:paraId="2D24354E"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Com função semelhante à Demonstração do Resultado do Exercício (DRE) do setor privado, o resultado patrimonial apurado não é um indicador de desempenho, mas um medidor do quanto o serviço público ofertado promoveu alterações quantitativas dos elementos</w:t>
      </w:r>
    </w:p>
    <w:p w14:paraId="611DCF72"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patrimoniais do órgão.</w:t>
      </w:r>
    </w:p>
    <w:p w14:paraId="4FAC27A6"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1A79DFFA"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lastRenderedPageBreak/>
        <w:t>(b) Resultado financeiro</w:t>
      </w:r>
    </w:p>
    <w:p w14:paraId="50923709"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O resultado financeiro representa o confronto entre ingressos e dispêndios, orçamentários e extraorçamentários, que ocorreram durante o exercício e alteraram as disponibilidades do órgão. Pelo Balanço Financeiro, é possível realizar a apuração do resultado financeiro. Esse resultado não deve ser confundido com o superávit ou déficit financeiro do exercício apurado no Balanço Patrimonial. Pela observância do princípio de caixa único, é possível, também, verificar o resultado financeiro na Demonstração dos Fluxos de Caixa – DFC, que apresenta as entradas e saídas de caixa e as classifica em fluxos operacional, de investimento e de financiamento.</w:t>
      </w:r>
    </w:p>
    <w:p w14:paraId="14563D79"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A DFC permite a análise da capacidade de a entidade gerar caixa e equivalentes de caixa e da utilização de recursos próprios e de terceiros em suas atividades. Sua análise permite a comparação dos fluxos de caixa, gerados ou consumidos, com o resultado do período e com o total do passivo, permitindo identificar, por exemplo: a parcela dos recursos utilizada para pagamento da dívida e para investimentos, e a parcela da geração líquida de caixa atribuída às atividades operacionais.</w:t>
      </w:r>
    </w:p>
    <w:p w14:paraId="4B80FF55"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2ED03872"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t>(c) Resultado orçamentário</w:t>
      </w:r>
    </w:p>
    <w:p w14:paraId="05123BB8"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p>
    <w:p w14:paraId="2789AE34"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O regime orçamentário da União segue o disposto no art. 35 da Lei nº 4.320/1964. Desse modo, pertencem ao exercício financeiro as receitas nele arrecadadas e as despesas nele legalmente empenhadas.</w:t>
      </w:r>
    </w:p>
    <w:p w14:paraId="67ECC8B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O resultado orçamentário representa o confronto entre as receitas orçamentárias realizadas e as despesas orçamentárias empenhadas, não se computando, portanto, as despesas liquidadas e as despesas pagas, em atendimento ao art. 35 supracitado. O superávit/déficit é apresentado diretamente no Balanço Orçamentário. O déficit é apresentado junto às receitas a fim de demonstrar o equilíbrio do Balanço Orçamentário; enquanto que o superávit é apresentado junto às despesas.</w:t>
      </w:r>
    </w:p>
    <w:p w14:paraId="01DE28A6"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As colunas de "Previsão Inicial" e "Previsão Atualizada" da Receita conterão os valores correspondentes às receitas próprias ou aos decorrentes de recursos vinculados a despesas específicas, fundo ou órgão, consignados na LOA.</w:t>
      </w:r>
    </w:p>
    <w:p w14:paraId="42CA12F0"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Estudos da STN apontam que “o balanço orçamentário é estruturado para atender a um “ente público” e não para demonstrar as movimentações de créditos, pois os valores concedidos são iguais aos valores recebidos entre as unidades que compõem o ente. Caso o órgão não possua essas duas origens de receita, o BO demonstrará apenas a execução do crédito, visualizada na coluna de “Despesas Empenhadas”. Os valores recebidos pelos institutos, por exemplo, provenientes do MEC ou de outros órgãos, não são mais visualizados no "BO", na coluna "Previsão Atualizada" da Receita, desde 2011, quando foi reformulada a sua estrutura </w:t>
      </w:r>
      <w:r w:rsidRPr="00F02ABE">
        <w:rPr>
          <w:rFonts w:ascii="Times New Roman" w:hAnsi="Times New Roman"/>
          <w:color w:val="000000"/>
          <w:sz w:val="24"/>
          <w:szCs w:val="24"/>
          <w:lang w:eastAsia="pt-BR"/>
        </w:rPr>
        <w:lastRenderedPageBreak/>
        <w:t>pela STN. A justificativa para retirada da movimentação de créditos do Balanço Orçamentário foi a de que “crédito” e “dotação” não são sinônimos. Esta, corresponde aos valores fixados na LOA; enquanto aqueles correspondem aos valores movimentados pela execução orçamentária (dentro de um mesmo ente). Para identificar os créditos recebidos de outros órgãos não pertencentes à estrutura do MEC, deve-se gerar um relatório gerencial sobre "Movimentação Orçamentária". Portanto, os créditos recebidos ou concedidos não são adicionados ou deduzidos da coluna "Previsão Atualizada". Cabe ressaltar que o total da "Despesa Empenhada" superior ao total da "Dotação Inicial" ou "Dotação Atualizada" pode acontecer em qualquer órgão e não representa um erro. Significa que, além do seu próprio orçamento, o órgão executou (empenhou) despesas com o orçamento de outros órgãos, por meio do recebimento de créditos orçamentários.</w:t>
      </w:r>
    </w:p>
    <w:p w14:paraId="5D456897" w14:textId="77777777" w:rsidR="00CB2FF5" w:rsidRDefault="00CB2FF5" w:rsidP="00CB2FF5">
      <w:pPr>
        <w:autoSpaceDE w:val="0"/>
        <w:autoSpaceDN w:val="0"/>
        <w:adjustRightInd w:val="0"/>
        <w:spacing w:after="0" w:line="240" w:lineRule="auto"/>
        <w:ind w:left="1701"/>
        <w:jc w:val="both"/>
        <w:rPr>
          <w:rFonts w:ascii="Times New Roman" w:hAnsi="Times New Roman"/>
          <w:b/>
          <w:color w:val="000000"/>
          <w:sz w:val="24"/>
          <w:szCs w:val="24"/>
          <w:lang w:eastAsia="pt-BR"/>
        </w:rPr>
      </w:pPr>
    </w:p>
    <w:p w14:paraId="4ACA4CC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lang w:eastAsia="pt-BR"/>
        </w:rPr>
      </w:pPr>
      <w:r w:rsidRPr="00F02ABE">
        <w:rPr>
          <w:rFonts w:ascii="Times New Roman" w:hAnsi="Times New Roman"/>
          <w:b/>
          <w:color w:val="000000"/>
          <w:sz w:val="24"/>
          <w:szCs w:val="24"/>
          <w:lang w:eastAsia="pt-BR"/>
        </w:rPr>
        <w:t>5</w:t>
      </w:r>
      <w:r w:rsidRPr="00F02ABE">
        <w:rPr>
          <w:rFonts w:ascii="Times New Roman" w:hAnsi="Times New Roman"/>
          <w:color w:val="000000"/>
          <w:sz w:val="24"/>
          <w:szCs w:val="24"/>
          <w:lang w:eastAsia="pt-BR"/>
        </w:rPr>
        <w:t xml:space="preserve"> - </w:t>
      </w:r>
      <w:r w:rsidRPr="00F02ABE">
        <w:rPr>
          <w:rFonts w:ascii="Times New Roman" w:hAnsi="Times New Roman"/>
          <w:b/>
          <w:bCs/>
          <w:sz w:val="24"/>
          <w:szCs w:val="24"/>
          <w:lang w:eastAsia="pt-BR"/>
        </w:rPr>
        <w:t>NOTAS EXPLICATIVAS AO BALANÇO ORÇAMENTÁRIO – BO</w:t>
      </w:r>
    </w:p>
    <w:p w14:paraId="4DF186E0"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lang w:eastAsia="pt-BR"/>
        </w:rPr>
      </w:pPr>
    </w:p>
    <w:p w14:paraId="45D02BD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A seguir, são apresentadas as notas relativas ao BO e aos Restos a Pagar.</w:t>
      </w:r>
    </w:p>
    <w:p w14:paraId="5E2FE473"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6E5BF2D4" w14:textId="77777777" w:rsidR="00CB2FF5" w:rsidRPr="00F02ABE" w:rsidRDefault="00CB2FF5" w:rsidP="00CB2FF5">
      <w:pPr>
        <w:numPr>
          <w:ilvl w:val="1"/>
          <w:numId w:val="2"/>
        </w:numPr>
        <w:autoSpaceDE w:val="0"/>
        <w:autoSpaceDN w:val="0"/>
        <w:adjustRightInd w:val="0"/>
        <w:spacing w:after="0" w:line="240" w:lineRule="auto"/>
        <w:jc w:val="both"/>
        <w:rPr>
          <w:rFonts w:ascii="Times New Roman" w:hAnsi="Times New Roman"/>
          <w:b/>
          <w:bCs/>
          <w:sz w:val="24"/>
          <w:szCs w:val="24"/>
          <w:lang w:eastAsia="pt-BR"/>
        </w:rPr>
      </w:pPr>
      <w:r w:rsidRPr="00F02ABE">
        <w:rPr>
          <w:rFonts w:ascii="Times New Roman" w:hAnsi="Times New Roman"/>
          <w:b/>
          <w:bCs/>
          <w:sz w:val="24"/>
          <w:szCs w:val="24"/>
          <w:lang w:eastAsia="pt-BR"/>
        </w:rPr>
        <w:t>Receitas</w:t>
      </w:r>
    </w:p>
    <w:p w14:paraId="587FB429" w14:textId="6D5D373B"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No </w:t>
      </w:r>
      <w:r w:rsidR="006B1A22">
        <w:rPr>
          <w:rFonts w:ascii="Times New Roman" w:hAnsi="Times New Roman"/>
          <w:sz w:val="24"/>
          <w:szCs w:val="24"/>
          <w:lang w:eastAsia="pt-BR"/>
        </w:rPr>
        <w:t>último</w:t>
      </w:r>
      <w:r w:rsidR="00E43AAD">
        <w:rPr>
          <w:rFonts w:ascii="Times New Roman" w:hAnsi="Times New Roman"/>
          <w:sz w:val="24"/>
          <w:szCs w:val="24"/>
          <w:lang w:eastAsia="pt-BR"/>
        </w:rPr>
        <w:t xml:space="preserve"> </w:t>
      </w:r>
      <w:r w:rsidRPr="00F02ABE">
        <w:rPr>
          <w:rFonts w:ascii="Times New Roman" w:hAnsi="Times New Roman"/>
          <w:sz w:val="24"/>
          <w:szCs w:val="24"/>
          <w:lang w:eastAsia="pt-BR"/>
        </w:rPr>
        <w:t>trimestre de 202</w:t>
      </w:r>
      <w:r>
        <w:rPr>
          <w:rFonts w:ascii="Times New Roman" w:hAnsi="Times New Roman"/>
          <w:sz w:val="24"/>
          <w:szCs w:val="24"/>
          <w:lang w:eastAsia="pt-BR"/>
        </w:rPr>
        <w:t>4</w:t>
      </w:r>
      <w:r w:rsidRPr="00F02ABE">
        <w:rPr>
          <w:rFonts w:ascii="Times New Roman" w:hAnsi="Times New Roman"/>
          <w:sz w:val="24"/>
          <w:szCs w:val="24"/>
          <w:lang w:eastAsia="pt-BR"/>
        </w:rPr>
        <w:t xml:space="preserve">, as receitas realizadas (arrecadadas) atingiram o montante de </w:t>
      </w:r>
      <w:r w:rsidRPr="00FB31B9">
        <w:rPr>
          <w:rFonts w:ascii="Times New Roman" w:hAnsi="Times New Roman"/>
          <w:b/>
          <w:bCs/>
          <w:sz w:val="24"/>
          <w:szCs w:val="24"/>
          <w:lang w:eastAsia="pt-BR"/>
        </w:rPr>
        <w:t xml:space="preserve">R$ </w:t>
      </w:r>
      <w:r w:rsidR="003049BD">
        <w:rPr>
          <w:rFonts w:ascii="Times New Roman" w:hAnsi="Times New Roman"/>
          <w:b/>
          <w:bCs/>
          <w:sz w:val="24"/>
          <w:szCs w:val="24"/>
          <w:lang w:eastAsia="pt-BR"/>
        </w:rPr>
        <w:t>901.</w:t>
      </w:r>
      <w:r w:rsidR="00A042EE">
        <w:rPr>
          <w:rFonts w:ascii="Times New Roman" w:hAnsi="Times New Roman"/>
          <w:b/>
          <w:bCs/>
          <w:sz w:val="24"/>
          <w:szCs w:val="24"/>
          <w:lang w:eastAsia="pt-BR"/>
        </w:rPr>
        <w:t>905,47</w:t>
      </w:r>
      <w:r w:rsidRPr="00F02ABE">
        <w:rPr>
          <w:rFonts w:ascii="Times New Roman" w:hAnsi="Times New Roman"/>
          <w:sz w:val="24"/>
          <w:szCs w:val="24"/>
          <w:lang w:eastAsia="pt-BR"/>
        </w:rPr>
        <w:t xml:space="preserve">, enquanto que as despesas empenhadas totalizaram </w:t>
      </w:r>
      <w:r w:rsidRPr="00FB31B9">
        <w:rPr>
          <w:rFonts w:ascii="Times New Roman" w:hAnsi="Times New Roman"/>
          <w:b/>
          <w:bCs/>
          <w:sz w:val="24"/>
          <w:szCs w:val="24"/>
          <w:lang w:eastAsia="pt-BR"/>
        </w:rPr>
        <w:t xml:space="preserve">R$ </w:t>
      </w:r>
      <w:r w:rsidR="00614ABB">
        <w:rPr>
          <w:rFonts w:ascii="Times New Roman" w:hAnsi="Times New Roman"/>
          <w:b/>
          <w:bCs/>
          <w:sz w:val="24"/>
          <w:szCs w:val="24"/>
          <w:lang w:eastAsia="pt-BR"/>
        </w:rPr>
        <w:t>6</w:t>
      </w:r>
      <w:r w:rsidR="000117B6">
        <w:rPr>
          <w:rFonts w:ascii="Times New Roman" w:hAnsi="Times New Roman"/>
          <w:b/>
          <w:bCs/>
          <w:sz w:val="24"/>
          <w:szCs w:val="24"/>
          <w:lang w:eastAsia="pt-BR"/>
        </w:rPr>
        <w:t>72.421.964,59</w:t>
      </w:r>
      <w:r w:rsidRPr="00F02ABE">
        <w:rPr>
          <w:rFonts w:ascii="Times New Roman" w:hAnsi="Times New Roman"/>
          <w:sz w:val="24"/>
          <w:szCs w:val="24"/>
          <w:lang w:eastAsia="pt-BR"/>
        </w:rPr>
        <w:t xml:space="preserve">, gerando um resultado orçamentário deficitário de </w:t>
      </w:r>
      <w:r w:rsidRPr="00FB31B9">
        <w:rPr>
          <w:rFonts w:ascii="Times New Roman" w:hAnsi="Times New Roman"/>
          <w:b/>
          <w:bCs/>
          <w:sz w:val="24"/>
          <w:szCs w:val="24"/>
          <w:lang w:eastAsia="pt-BR"/>
        </w:rPr>
        <w:t xml:space="preserve">R$ </w:t>
      </w:r>
      <w:r w:rsidR="006F0238">
        <w:rPr>
          <w:rFonts w:ascii="Times New Roman" w:hAnsi="Times New Roman"/>
          <w:b/>
          <w:bCs/>
          <w:sz w:val="24"/>
          <w:szCs w:val="24"/>
          <w:lang w:eastAsia="pt-BR"/>
        </w:rPr>
        <w:t>6</w:t>
      </w:r>
      <w:r w:rsidR="00C80CDD">
        <w:rPr>
          <w:rFonts w:ascii="Times New Roman" w:hAnsi="Times New Roman"/>
          <w:b/>
          <w:bCs/>
          <w:sz w:val="24"/>
          <w:szCs w:val="24"/>
          <w:lang w:eastAsia="pt-BR"/>
        </w:rPr>
        <w:t>71.520.059,12</w:t>
      </w:r>
      <w:r w:rsidRPr="00F02ABE">
        <w:rPr>
          <w:rFonts w:ascii="Times New Roman" w:hAnsi="Times New Roman"/>
          <w:sz w:val="24"/>
          <w:szCs w:val="24"/>
          <w:lang w:eastAsia="pt-BR"/>
        </w:rPr>
        <w:t>.</w:t>
      </w:r>
    </w:p>
    <w:p w14:paraId="362F808E"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Essa disparidade pode ser justificada pelas informações já mencionadas anteriormente de que a coluna da Previsão Atualizada, assim como a das Receitas Realizadas contêm os valores correspondentes às receitas próprias arrecadadas pelo órgão, não se computando os créditos orçamentários recebidos no decorrer no exercício correspondentes à contrapartida das despesas fixadas na LOA (Dotação Atualizada); e a de que esses créditos orçamentários não são mais demonstrados no BO, em face da metodologia de sua elaboração por “ente” e não por “órgão/UG”. Para compreender essa situação, deve-se reportar ao Balanço Financeiro e identificar nos itens dos Ingressos as (Receitas Orçamentárias) + (Transferências Financeiras Recebidas - resultantes da execução orçamentária) que correspondem à contrapartida dos créditos orçamentários recebidos no decorrer do exercício.</w:t>
      </w:r>
    </w:p>
    <w:p w14:paraId="5763A47F" w14:textId="66E48A70"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Analisando-se a arrecadação por categoria econômica, as Receitas Correntes representam 100,00%, do total das receitas arrecadadas, o que corresponde </w:t>
      </w:r>
      <w:r w:rsidR="000C5082">
        <w:rPr>
          <w:rFonts w:ascii="Times New Roman" w:hAnsi="Times New Roman"/>
          <w:sz w:val="24"/>
          <w:szCs w:val="24"/>
          <w:lang w:eastAsia="pt-BR"/>
        </w:rPr>
        <w:t xml:space="preserve">a </w:t>
      </w:r>
      <w:r w:rsidRPr="00F02ABE">
        <w:rPr>
          <w:rFonts w:ascii="Times New Roman" w:hAnsi="Times New Roman"/>
          <w:sz w:val="24"/>
          <w:szCs w:val="24"/>
          <w:lang w:eastAsia="pt-BR"/>
        </w:rPr>
        <w:t xml:space="preserve">um superávit de </w:t>
      </w:r>
      <w:r w:rsidR="00CD2D5B">
        <w:rPr>
          <w:rFonts w:ascii="Times New Roman" w:hAnsi="Times New Roman"/>
          <w:sz w:val="24"/>
          <w:szCs w:val="24"/>
          <w:lang w:eastAsia="pt-BR"/>
        </w:rPr>
        <w:t>657,24</w:t>
      </w:r>
      <w:r w:rsidRPr="00F02ABE">
        <w:rPr>
          <w:rFonts w:ascii="Times New Roman" w:hAnsi="Times New Roman"/>
          <w:sz w:val="24"/>
          <w:szCs w:val="24"/>
          <w:lang w:eastAsia="pt-BR"/>
        </w:rPr>
        <w:t xml:space="preserve">% do total da Previsão Atualizada no </w:t>
      </w:r>
      <w:r w:rsidR="00CD2D5B">
        <w:rPr>
          <w:rFonts w:ascii="Times New Roman" w:hAnsi="Times New Roman"/>
          <w:sz w:val="24"/>
          <w:szCs w:val="24"/>
          <w:lang w:eastAsia="pt-BR"/>
        </w:rPr>
        <w:t>quarto</w:t>
      </w:r>
      <w:r w:rsidRPr="00F02ABE">
        <w:rPr>
          <w:rFonts w:ascii="Times New Roman" w:hAnsi="Times New Roman"/>
          <w:sz w:val="24"/>
          <w:szCs w:val="24"/>
          <w:lang w:eastAsia="pt-BR"/>
        </w:rPr>
        <w:t xml:space="preserve"> trimestre de 202</w:t>
      </w:r>
      <w:r>
        <w:rPr>
          <w:rFonts w:ascii="Times New Roman" w:hAnsi="Times New Roman"/>
          <w:sz w:val="24"/>
          <w:szCs w:val="24"/>
          <w:lang w:eastAsia="pt-BR"/>
        </w:rPr>
        <w:t>4</w:t>
      </w:r>
      <w:r w:rsidRPr="00F02ABE">
        <w:rPr>
          <w:rFonts w:ascii="Times New Roman" w:hAnsi="Times New Roman"/>
          <w:sz w:val="24"/>
          <w:szCs w:val="24"/>
          <w:lang w:eastAsia="pt-BR"/>
        </w:rPr>
        <w:t xml:space="preserve">. No trimestre citado não houve arrecadação de Receitas de Capital. </w:t>
      </w:r>
    </w:p>
    <w:p w14:paraId="24AA7EF8" w14:textId="77777777" w:rsidR="00CB2FF5" w:rsidRPr="00F02ABE" w:rsidRDefault="00CB2FF5" w:rsidP="00CB2FF5">
      <w:pPr>
        <w:spacing w:after="0" w:line="240" w:lineRule="auto"/>
        <w:jc w:val="both"/>
        <w:rPr>
          <w:rFonts w:ascii="Times New Roman" w:hAnsi="Times New Roman"/>
          <w:b/>
          <w:sz w:val="24"/>
          <w:szCs w:val="24"/>
        </w:rPr>
      </w:pPr>
    </w:p>
    <w:p w14:paraId="3BD5B9F9" w14:textId="77777777" w:rsidR="00CB2FF5" w:rsidRPr="00F02ABE" w:rsidRDefault="00CB2FF5" w:rsidP="00CB2FF5">
      <w:pPr>
        <w:spacing w:after="0" w:line="240" w:lineRule="auto"/>
        <w:ind w:left="1701"/>
        <w:jc w:val="both"/>
        <w:rPr>
          <w:rFonts w:ascii="Times New Roman" w:hAnsi="Times New Roman"/>
          <w:b/>
          <w:bCs/>
          <w:sz w:val="24"/>
          <w:szCs w:val="24"/>
          <w:lang w:eastAsia="pt-BR"/>
        </w:rPr>
      </w:pPr>
      <w:r w:rsidRPr="00F02ABE">
        <w:rPr>
          <w:rFonts w:ascii="Times New Roman" w:hAnsi="Times New Roman"/>
          <w:b/>
          <w:bCs/>
          <w:sz w:val="24"/>
          <w:szCs w:val="24"/>
          <w:lang w:eastAsia="pt-BR"/>
        </w:rPr>
        <w:lastRenderedPageBreak/>
        <w:t>Tabela 1 – Receitas arrecadadas por Categoria Econômica</w:t>
      </w:r>
    </w:p>
    <w:p w14:paraId="114C630C" w14:textId="77777777" w:rsidR="00CB2FF5" w:rsidRPr="00F02ABE" w:rsidRDefault="00CB2FF5" w:rsidP="00CB2FF5">
      <w:pPr>
        <w:spacing w:after="0" w:line="240" w:lineRule="auto"/>
        <w:ind w:left="1701"/>
        <w:jc w:val="both"/>
        <w:rPr>
          <w:rFonts w:ascii="Times New Roman" w:hAnsi="Times New Roman"/>
          <w:bCs/>
          <w:sz w:val="24"/>
          <w:szCs w:val="24"/>
          <w:lang w:eastAsia="pt-BR"/>
        </w:rPr>
      </w:pPr>
      <w:r w:rsidRPr="00F02ABE">
        <w:rPr>
          <w:rFonts w:ascii="Times New Roman" w:hAnsi="Times New Roman"/>
          <w:bCs/>
          <w:sz w:val="24"/>
          <w:szCs w:val="24"/>
          <w:lang w:eastAsia="pt-BR"/>
        </w:rPr>
        <w:t xml:space="preserve">                                                                                                                                                                                </w:t>
      </w:r>
      <w:r>
        <w:rPr>
          <w:rFonts w:ascii="Times New Roman" w:hAnsi="Times New Roman"/>
          <w:bCs/>
          <w:sz w:val="24"/>
          <w:szCs w:val="24"/>
          <w:lang w:eastAsia="pt-BR"/>
        </w:rPr>
        <w:t xml:space="preserve">   </w:t>
      </w:r>
      <w:r w:rsidRPr="00F02ABE">
        <w:rPr>
          <w:rFonts w:ascii="Times New Roman" w:hAnsi="Times New Roman"/>
          <w:bCs/>
          <w:sz w:val="24"/>
          <w:szCs w:val="24"/>
          <w:lang w:eastAsia="pt-BR"/>
        </w:rPr>
        <w:t xml:space="preserve"> </w:t>
      </w:r>
      <w:r>
        <w:rPr>
          <w:rFonts w:ascii="Times New Roman" w:hAnsi="Times New Roman"/>
          <w:bCs/>
          <w:sz w:val="24"/>
          <w:szCs w:val="24"/>
          <w:lang w:eastAsia="pt-BR"/>
        </w:rPr>
        <w:t>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343"/>
        <w:gridCol w:w="2476"/>
        <w:gridCol w:w="1743"/>
        <w:gridCol w:w="2255"/>
      </w:tblGrid>
      <w:tr w:rsidR="00CB2FF5" w:rsidRPr="00F02ABE" w14:paraId="584A98F1" w14:textId="77777777" w:rsidTr="00242CBD">
        <w:tc>
          <w:tcPr>
            <w:tcW w:w="2802" w:type="dxa"/>
          </w:tcPr>
          <w:p w14:paraId="3A8071D1" w14:textId="77777777" w:rsidR="00CB2FF5" w:rsidRPr="00F02ABE" w:rsidRDefault="00CB2FF5" w:rsidP="00242CBD">
            <w:pPr>
              <w:spacing w:after="0" w:line="240" w:lineRule="auto"/>
              <w:jc w:val="both"/>
              <w:rPr>
                <w:rFonts w:ascii="Times New Roman" w:hAnsi="Times New Roman"/>
                <w:b/>
                <w:sz w:val="24"/>
                <w:szCs w:val="24"/>
              </w:rPr>
            </w:pPr>
            <w:r w:rsidRPr="00F02ABE">
              <w:rPr>
                <w:rFonts w:ascii="Times New Roman" w:hAnsi="Times New Roman"/>
                <w:b/>
                <w:sz w:val="24"/>
                <w:szCs w:val="24"/>
              </w:rPr>
              <w:t>Categoria Econômica</w:t>
            </w:r>
          </w:p>
        </w:tc>
        <w:tc>
          <w:tcPr>
            <w:tcW w:w="2343" w:type="dxa"/>
          </w:tcPr>
          <w:p w14:paraId="6C9B2A14" w14:textId="77777777" w:rsidR="00CB2FF5" w:rsidRPr="00F02ABE" w:rsidRDefault="00CB2FF5" w:rsidP="00242CBD">
            <w:pPr>
              <w:spacing w:after="0" w:line="240" w:lineRule="auto"/>
              <w:jc w:val="both"/>
              <w:rPr>
                <w:rFonts w:ascii="Times New Roman" w:hAnsi="Times New Roman"/>
                <w:b/>
                <w:sz w:val="24"/>
                <w:szCs w:val="24"/>
              </w:rPr>
            </w:pPr>
            <w:r w:rsidRPr="00F02ABE">
              <w:rPr>
                <w:rFonts w:ascii="Times New Roman" w:hAnsi="Times New Roman"/>
                <w:b/>
                <w:sz w:val="24"/>
                <w:szCs w:val="24"/>
              </w:rPr>
              <w:t>Previsão atualizada</w:t>
            </w:r>
          </w:p>
        </w:tc>
        <w:tc>
          <w:tcPr>
            <w:tcW w:w="2476" w:type="dxa"/>
          </w:tcPr>
          <w:p w14:paraId="17AA223A" w14:textId="77777777" w:rsidR="00CB2FF5" w:rsidRPr="00F02ABE" w:rsidRDefault="00CB2FF5" w:rsidP="00242CBD">
            <w:pPr>
              <w:spacing w:after="0" w:line="240" w:lineRule="auto"/>
              <w:jc w:val="both"/>
              <w:rPr>
                <w:rFonts w:ascii="Times New Roman" w:hAnsi="Times New Roman"/>
                <w:b/>
                <w:sz w:val="24"/>
                <w:szCs w:val="24"/>
              </w:rPr>
            </w:pPr>
            <w:r w:rsidRPr="00F02ABE">
              <w:rPr>
                <w:rFonts w:ascii="Times New Roman" w:hAnsi="Times New Roman"/>
                <w:b/>
                <w:sz w:val="24"/>
                <w:szCs w:val="24"/>
              </w:rPr>
              <w:t>Realização da Receita</w:t>
            </w:r>
          </w:p>
        </w:tc>
        <w:tc>
          <w:tcPr>
            <w:tcW w:w="1743" w:type="dxa"/>
          </w:tcPr>
          <w:p w14:paraId="74EFC057" w14:textId="77777777" w:rsidR="00CB2FF5" w:rsidRPr="00F02ABE" w:rsidRDefault="00CB2FF5" w:rsidP="00242CBD">
            <w:pPr>
              <w:spacing w:after="0" w:line="240" w:lineRule="auto"/>
              <w:jc w:val="both"/>
              <w:rPr>
                <w:rFonts w:ascii="Times New Roman" w:hAnsi="Times New Roman"/>
                <w:b/>
                <w:sz w:val="24"/>
                <w:szCs w:val="24"/>
              </w:rPr>
            </w:pPr>
            <w:r w:rsidRPr="00F02ABE">
              <w:rPr>
                <w:rFonts w:ascii="Times New Roman" w:hAnsi="Times New Roman"/>
                <w:b/>
                <w:sz w:val="24"/>
                <w:szCs w:val="24"/>
              </w:rPr>
              <w:t>% Realização</w:t>
            </w:r>
          </w:p>
        </w:tc>
        <w:tc>
          <w:tcPr>
            <w:tcW w:w="2255" w:type="dxa"/>
          </w:tcPr>
          <w:p w14:paraId="2CB2CF6E" w14:textId="77777777" w:rsidR="00CB2FF5" w:rsidRPr="00F02ABE" w:rsidRDefault="00CB2FF5" w:rsidP="00242CBD">
            <w:pPr>
              <w:spacing w:after="0" w:line="240" w:lineRule="auto"/>
              <w:jc w:val="both"/>
              <w:rPr>
                <w:rFonts w:ascii="Times New Roman" w:hAnsi="Times New Roman"/>
                <w:b/>
                <w:sz w:val="24"/>
                <w:szCs w:val="24"/>
              </w:rPr>
            </w:pPr>
            <w:r w:rsidRPr="00F02ABE">
              <w:rPr>
                <w:rFonts w:ascii="Times New Roman" w:hAnsi="Times New Roman"/>
                <w:b/>
                <w:sz w:val="24"/>
                <w:szCs w:val="24"/>
              </w:rPr>
              <w:t>% Composição</w:t>
            </w:r>
          </w:p>
          <w:p w14:paraId="62CC7252" w14:textId="77777777" w:rsidR="00CB2FF5" w:rsidRPr="00F02ABE" w:rsidRDefault="00CB2FF5" w:rsidP="00242CBD">
            <w:pPr>
              <w:spacing w:after="0" w:line="240" w:lineRule="auto"/>
              <w:jc w:val="both"/>
              <w:rPr>
                <w:rFonts w:ascii="Times New Roman" w:hAnsi="Times New Roman"/>
                <w:b/>
                <w:sz w:val="24"/>
                <w:szCs w:val="24"/>
              </w:rPr>
            </w:pPr>
            <w:r w:rsidRPr="00F02ABE">
              <w:rPr>
                <w:rFonts w:ascii="Times New Roman" w:hAnsi="Times New Roman"/>
                <w:b/>
                <w:sz w:val="24"/>
                <w:szCs w:val="24"/>
              </w:rPr>
              <w:t>(Realização)</w:t>
            </w:r>
          </w:p>
        </w:tc>
      </w:tr>
      <w:tr w:rsidR="00CB2FF5" w:rsidRPr="00F02ABE" w14:paraId="5810044A" w14:textId="77777777" w:rsidTr="00242CBD">
        <w:tc>
          <w:tcPr>
            <w:tcW w:w="2802" w:type="dxa"/>
          </w:tcPr>
          <w:p w14:paraId="40DA37A2"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Receitas Correntes</w:t>
            </w:r>
          </w:p>
        </w:tc>
        <w:tc>
          <w:tcPr>
            <w:tcW w:w="2343" w:type="dxa"/>
          </w:tcPr>
          <w:p w14:paraId="0E9512C7" w14:textId="77777777" w:rsidR="00CB2FF5" w:rsidRPr="00F02ABE" w:rsidRDefault="00CB2FF5" w:rsidP="00242CBD">
            <w:pPr>
              <w:spacing w:after="0" w:line="240" w:lineRule="auto"/>
              <w:jc w:val="right"/>
              <w:rPr>
                <w:rFonts w:ascii="Times New Roman" w:hAnsi="Times New Roman"/>
                <w:sz w:val="24"/>
                <w:szCs w:val="24"/>
              </w:rPr>
            </w:pPr>
            <w:r>
              <w:rPr>
                <w:rFonts w:ascii="Times New Roman" w:hAnsi="Times New Roman"/>
                <w:sz w:val="24"/>
                <w:szCs w:val="24"/>
              </w:rPr>
              <w:t>137.227,00</w:t>
            </w:r>
          </w:p>
        </w:tc>
        <w:tc>
          <w:tcPr>
            <w:tcW w:w="2476" w:type="dxa"/>
          </w:tcPr>
          <w:p w14:paraId="07FE165E" w14:textId="42029C7F" w:rsidR="00CB2FF5" w:rsidRPr="00F02ABE" w:rsidRDefault="001D556E" w:rsidP="00242CBD">
            <w:pPr>
              <w:spacing w:after="0" w:line="240" w:lineRule="auto"/>
              <w:jc w:val="right"/>
              <w:rPr>
                <w:rFonts w:ascii="Times New Roman" w:hAnsi="Times New Roman"/>
                <w:sz w:val="24"/>
                <w:szCs w:val="24"/>
              </w:rPr>
            </w:pPr>
            <w:r>
              <w:rPr>
                <w:rFonts w:ascii="Times New Roman" w:hAnsi="Times New Roman"/>
                <w:sz w:val="24"/>
                <w:szCs w:val="24"/>
              </w:rPr>
              <w:t>901.905,47</w:t>
            </w:r>
          </w:p>
        </w:tc>
        <w:tc>
          <w:tcPr>
            <w:tcW w:w="1743" w:type="dxa"/>
          </w:tcPr>
          <w:p w14:paraId="39ACBEDC" w14:textId="5981AEEE" w:rsidR="00CB2FF5" w:rsidRPr="00F02ABE" w:rsidRDefault="004935CE" w:rsidP="00242CBD">
            <w:pPr>
              <w:spacing w:after="0" w:line="240" w:lineRule="auto"/>
              <w:jc w:val="right"/>
              <w:rPr>
                <w:rFonts w:ascii="Times New Roman" w:hAnsi="Times New Roman"/>
                <w:sz w:val="24"/>
                <w:szCs w:val="24"/>
              </w:rPr>
            </w:pPr>
            <w:r>
              <w:rPr>
                <w:rFonts w:ascii="Times New Roman" w:hAnsi="Times New Roman"/>
                <w:sz w:val="24"/>
                <w:szCs w:val="24"/>
              </w:rPr>
              <w:t>657,24</w:t>
            </w:r>
          </w:p>
        </w:tc>
        <w:tc>
          <w:tcPr>
            <w:tcW w:w="2255" w:type="dxa"/>
          </w:tcPr>
          <w:p w14:paraId="3322C5EE" w14:textId="77777777" w:rsidR="00CB2FF5" w:rsidRPr="00F02ABE" w:rsidRDefault="00CB2FF5" w:rsidP="00242CBD">
            <w:pPr>
              <w:spacing w:after="0" w:line="240" w:lineRule="auto"/>
              <w:jc w:val="right"/>
              <w:rPr>
                <w:rFonts w:ascii="Times New Roman" w:hAnsi="Times New Roman"/>
                <w:sz w:val="24"/>
                <w:szCs w:val="24"/>
              </w:rPr>
            </w:pPr>
            <w:r w:rsidRPr="00F02ABE">
              <w:rPr>
                <w:rFonts w:ascii="Times New Roman" w:hAnsi="Times New Roman"/>
                <w:sz w:val="24"/>
                <w:szCs w:val="24"/>
              </w:rPr>
              <w:t>100,00</w:t>
            </w:r>
          </w:p>
        </w:tc>
      </w:tr>
      <w:tr w:rsidR="00CB2FF5" w:rsidRPr="00F02ABE" w14:paraId="152D5401" w14:textId="77777777" w:rsidTr="00242CBD">
        <w:tc>
          <w:tcPr>
            <w:tcW w:w="2802" w:type="dxa"/>
          </w:tcPr>
          <w:p w14:paraId="79817A00"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Receitas de Capital</w:t>
            </w:r>
          </w:p>
        </w:tc>
        <w:tc>
          <w:tcPr>
            <w:tcW w:w="2343" w:type="dxa"/>
          </w:tcPr>
          <w:p w14:paraId="77323A26" w14:textId="77777777" w:rsidR="00CB2FF5" w:rsidRPr="00F02ABE" w:rsidRDefault="00CB2FF5" w:rsidP="00242CBD">
            <w:pPr>
              <w:spacing w:after="0" w:line="240" w:lineRule="auto"/>
              <w:jc w:val="right"/>
              <w:rPr>
                <w:rFonts w:ascii="Times New Roman" w:hAnsi="Times New Roman"/>
                <w:sz w:val="24"/>
                <w:szCs w:val="24"/>
              </w:rPr>
            </w:pPr>
            <w:r w:rsidRPr="00F02ABE">
              <w:rPr>
                <w:rFonts w:ascii="Times New Roman" w:hAnsi="Times New Roman"/>
                <w:sz w:val="24"/>
                <w:szCs w:val="24"/>
              </w:rPr>
              <w:t>0,00</w:t>
            </w:r>
          </w:p>
        </w:tc>
        <w:tc>
          <w:tcPr>
            <w:tcW w:w="2476" w:type="dxa"/>
          </w:tcPr>
          <w:p w14:paraId="5CEDB039" w14:textId="77777777" w:rsidR="00CB2FF5" w:rsidRPr="00F02ABE" w:rsidRDefault="00CB2FF5" w:rsidP="00242CBD">
            <w:pPr>
              <w:spacing w:after="0" w:line="240" w:lineRule="auto"/>
              <w:jc w:val="right"/>
              <w:rPr>
                <w:rFonts w:ascii="Times New Roman" w:hAnsi="Times New Roman"/>
                <w:sz w:val="24"/>
                <w:szCs w:val="24"/>
              </w:rPr>
            </w:pPr>
            <w:r w:rsidRPr="00F02ABE">
              <w:rPr>
                <w:rFonts w:ascii="Times New Roman" w:hAnsi="Times New Roman"/>
                <w:sz w:val="24"/>
                <w:szCs w:val="24"/>
              </w:rPr>
              <w:t>0,00</w:t>
            </w:r>
          </w:p>
        </w:tc>
        <w:tc>
          <w:tcPr>
            <w:tcW w:w="1743" w:type="dxa"/>
          </w:tcPr>
          <w:p w14:paraId="258E749E" w14:textId="77777777" w:rsidR="00CB2FF5" w:rsidRPr="00F02ABE" w:rsidRDefault="00CB2FF5" w:rsidP="00242CBD">
            <w:pPr>
              <w:spacing w:after="0" w:line="240" w:lineRule="auto"/>
              <w:jc w:val="right"/>
              <w:rPr>
                <w:rFonts w:ascii="Times New Roman" w:hAnsi="Times New Roman"/>
                <w:sz w:val="24"/>
                <w:szCs w:val="24"/>
              </w:rPr>
            </w:pPr>
            <w:r w:rsidRPr="00F02ABE">
              <w:rPr>
                <w:rFonts w:ascii="Times New Roman" w:hAnsi="Times New Roman"/>
                <w:sz w:val="24"/>
                <w:szCs w:val="24"/>
              </w:rPr>
              <w:t>-</w:t>
            </w:r>
          </w:p>
        </w:tc>
        <w:tc>
          <w:tcPr>
            <w:tcW w:w="2255" w:type="dxa"/>
          </w:tcPr>
          <w:p w14:paraId="651C992E" w14:textId="77777777" w:rsidR="00CB2FF5" w:rsidRPr="00F02ABE" w:rsidRDefault="00CB2FF5" w:rsidP="00242CBD">
            <w:pPr>
              <w:spacing w:after="0" w:line="240" w:lineRule="auto"/>
              <w:jc w:val="right"/>
              <w:rPr>
                <w:rFonts w:ascii="Times New Roman" w:hAnsi="Times New Roman"/>
                <w:sz w:val="24"/>
                <w:szCs w:val="24"/>
              </w:rPr>
            </w:pPr>
            <w:r w:rsidRPr="00F02ABE">
              <w:rPr>
                <w:rFonts w:ascii="Times New Roman" w:hAnsi="Times New Roman"/>
                <w:sz w:val="24"/>
                <w:szCs w:val="24"/>
              </w:rPr>
              <w:t>0,00</w:t>
            </w:r>
          </w:p>
        </w:tc>
      </w:tr>
      <w:tr w:rsidR="00CB2FF5" w:rsidRPr="00F02ABE" w14:paraId="37E041F1" w14:textId="77777777" w:rsidTr="00242CBD">
        <w:tc>
          <w:tcPr>
            <w:tcW w:w="2802" w:type="dxa"/>
          </w:tcPr>
          <w:p w14:paraId="06FC591F" w14:textId="77777777" w:rsidR="00CB2FF5" w:rsidRPr="00F02ABE" w:rsidRDefault="00CB2FF5" w:rsidP="00242CBD">
            <w:pPr>
              <w:spacing w:after="0" w:line="240" w:lineRule="auto"/>
              <w:jc w:val="both"/>
              <w:rPr>
                <w:rFonts w:ascii="Times New Roman" w:hAnsi="Times New Roman"/>
                <w:b/>
                <w:sz w:val="24"/>
                <w:szCs w:val="24"/>
              </w:rPr>
            </w:pPr>
            <w:r w:rsidRPr="00F02ABE">
              <w:rPr>
                <w:rFonts w:ascii="Times New Roman" w:hAnsi="Times New Roman"/>
                <w:b/>
                <w:sz w:val="24"/>
                <w:szCs w:val="24"/>
              </w:rPr>
              <w:t>Total das Receitas</w:t>
            </w:r>
          </w:p>
        </w:tc>
        <w:tc>
          <w:tcPr>
            <w:tcW w:w="2343" w:type="dxa"/>
          </w:tcPr>
          <w:p w14:paraId="19F3BAED" w14:textId="77777777" w:rsidR="00CB2FF5" w:rsidRPr="00F02ABE" w:rsidRDefault="00CB2FF5" w:rsidP="00242CBD">
            <w:pPr>
              <w:spacing w:after="0" w:line="240" w:lineRule="auto"/>
              <w:jc w:val="right"/>
              <w:rPr>
                <w:rFonts w:ascii="Times New Roman" w:hAnsi="Times New Roman"/>
                <w:b/>
                <w:sz w:val="24"/>
                <w:szCs w:val="24"/>
              </w:rPr>
            </w:pPr>
            <w:r>
              <w:rPr>
                <w:rFonts w:ascii="Times New Roman" w:hAnsi="Times New Roman"/>
                <w:b/>
                <w:sz w:val="24"/>
                <w:szCs w:val="24"/>
              </w:rPr>
              <w:t>137.227,00</w:t>
            </w:r>
          </w:p>
        </w:tc>
        <w:tc>
          <w:tcPr>
            <w:tcW w:w="2476" w:type="dxa"/>
          </w:tcPr>
          <w:p w14:paraId="3656E692" w14:textId="071E99B6" w:rsidR="00CB2FF5" w:rsidRPr="00FB31B9" w:rsidRDefault="004935CE" w:rsidP="00242CBD">
            <w:pPr>
              <w:spacing w:after="0" w:line="240" w:lineRule="auto"/>
              <w:jc w:val="right"/>
              <w:rPr>
                <w:rFonts w:ascii="Times New Roman" w:hAnsi="Times New Roman"/>
                <w:b/>
                <w:bCs/>
                <w:sz w:val="24"/>
                <w:szCs w:val="24"/>
              </w:rPr>
            </w:pPr>
            <w:r>
              <w:rPr>
                <w:rFonts w:ascii="Times New Roman" w:hAnsi="Times New Roman"/>
                <w:sz w:val="24"/>
                <w:szCs w:val="24"/>
              </w:rPr>
              <w:t>901.905,47</w:t>
            </w:r>
          </w:p>
        </w:tc>
        <w:tc>
          <w:tcPr>
            <w:tcW w:w="1743" w:type="dxa"/>
          </w:tcPr>
          <w:p w14:paraId="3ED84C07" w14:textId="596A42DF" w:rsidR="00CB2FF5" w:rsidRPr="00FB31B9" w:rsidRDefault="002B58F1" w:rsidP="00242CBD">
            <w:pPr>
              <w:spacing w:after="0" w:line="240" w:lineRule="auto"/>
              <w:jc w:val="right"/>
              <w:rPr>
                <w:rFonts w:ascii="Times New Roman" w:hAnsi="Times New Roman"/>
                <w:b/>
                <w:bCs/>
                <w:sz w:val="24"/>
                <w:szCs w:val="24"/>
              </w:rPr>
            </w:pPr>
            <w:r>
              <w:rPr>
                <w:rFonts w:ascii="Times New Roman" w:hAnsi="Times New Roman"/>
                <w:b/>
                <w:bCs/>
                <w:sz w:val="24"/>
                <w:szCs w:val="24"/>
              </w:rPr>
              <w:t>657,24</w:t>
            </w:r>
          </w:p>
        </w:tc>
        <w:tc>
          <w:tcPr>
            <w:tcW w:w="2255" w:type="dxa"/>
          </w:tcPr>
          <w:p w14:paraId="0AE96BFB" w14:textId="77777777" w:rsidR="00CB2FF5" w:rsidRPr="00F02ABE" w:rsidRDefault="00CB2FF5" w:rsidP="00242CBD">
            <w:pPr>
              <w:spacing w:after="0" w:line="240" w:lineRule="auto"/>
              <w:jc w:val="right"/>
              <w:rPr>
                <w:rFonts w:ascii="Times New Roman" w:hAnsi="Times New Roman"/>
                <w:b/>
                <w:sz w:val="24"/>
                <w:szCs w:val="24"/>
              </w:rPr>
            </w:pPr>
            <w:r w:rsidRPr="00F02ABE">
              <w:rPr>
                <w:rFonts w:ascii="Times New Roman" w:hAnsi="Times New Roman"/>
                <w:b/>
                <w:sz w:val="24"/>
                <w:szCs w:val="24"/>
              </w:rPr>
              <w:t>100,00</w:t>
            </w:r>
          </w:p>
        </w:tc>
      </w:tr>
    </w:tbl>
    <w:p w14:paraId="314E9883" w14:textId="77777777" w:rsidR="00CB2FF5" w:rsidRDefault="00CB2FF5" w:rsidP="00CB2FF5">
      <w:pPr>
        <w:spacing w:after="0" w:line="240" w:lineRule="auto"/>
        <w:ind w:left="1701"/>
        <w:jc w:val="both"/>
        <w:rPr>
          <w:rFonts w:ascii="Times New Roman" w:hAnsi="Times New Roman"/>
          <w:sz w:val="20"/>
          <w:szCs w:val="20"/>
        </w:rPr>
      </w:pPr>
      <w:r w:rsidRPr="00C10AF9">
        <w:rPr>
          <w:rFonts w:ascii="Times New Roman" w:hAnsi="Times New Roman"/>
          <w:sz w:val="20"/>
          <w:szCs w:val="20"/>
        </w:rPr>
        <w:t>Fonte: Tesouro Gerencial, 2024 e 2023.</w:t>
      </w:r>
    </w:p>
    <w:p w14:paraId="6D40CAD5" w14:textId="77777777" w:rsidR="00E04EED" w:rsidRDefault="00E04EED" w:rsidP="00CB2FF5">
      <w:pPr>
        <w:autoSpaceDE w:val="0"/>
        <w:autoSpaceDN w:val="0"/>
        <w:adjustRightInd w:val="0"/>
        <w:spacing w:after="0" w:line="240" w:lineRule="auto"/>
        <w:ind w:left="1701"/>
        <w:jc w:val="both"/>
        <w:rPr>
          <w:rFonts w:ascii="Times New Roman" w:hAnsi="Times New Roman"/>
          <w:sz w:val="24"/>
          <w:szCs w:val="24"/>
          <w:lang w:eastAsia="pt-BR"/>
        </w:rPr>
      </w:pPr>
    </w:p>
    <w:p w14:paraId="6BD1A360" w14:textId="2A006C20"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Na tabela seguinte, verifica-se que, em termos monetários e em percentuais de composição, tiveram arrecadação somente na categoria das Receitas Correntes.</w:t>
      </w:r>
    </w:p>
    <w:p w14:paraId="64757CB4" w14:textId="56A74D00"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A maior arrecadação, R$</w:t>
      </w:r>
      <w:r>
        <w:rPr>
          <w:rFonts w:ascii="Times New Roman" w:hAnsi="Times New Roman"/>
          <w:sz w:val="24"/>
          <w:szCs w:val="24"/>
          <w:lang w:eastAsia="pt-BR"/>
        </w:rPr>
        <w:t xml:space="preserve"> </w:t>
      </w:r>
      <w:r w:rsidR="005F51A9">
        <w:rPr>
          <w:rFonts w:ascii="Times New Roman" w:hAnsi="Times New Roman"/>
          <w:sz w:val="24"/>
          <w:szCs w:val="24"/>
          <w:lang w:eastAsia="pt-BR"/>
        </w:rPr>
        <w:t>580.541,32</w:t>
      </w:r>
      <w:r w:rsidRPr="00F02ABE">
        <w:rPr>
          <w:rFonts w:ascii="Times New Roman" w:hAnsi="Times New Roman"/>
          <w:sz w:val="24"/>
          <w:szCs w:val="24"/>
          <w:lang w:eastAsia="pt-BR"/>
        </w:rPr>
        <w:t xml:space="preserve">, está concentrada em </w:t>
      </w:r>
      <w:r w:rsidRPr="00F02ABE">
        <w:rPr>
          <w:rFonts w:ascii="Times New Roman" w:hAnsi="Times New Roman"/>
          <w:sz w:val="24"/>
          <w:szCs w:val="24"/>
        </w:rPr>
        <w:t xml:space="preserve">Receitas </w:t>
      </w:r>
      <w:r w:rsidR="00831F7B">
        <w:rPr>
          <w:rFonts w:ascii="Times New Roman" w:hAnsi="Times New Roman"/>
          <w:sz w:val="24"/>
          <w:szCs w:val="24"/>
        </w:rPr>
        <w:t>de Serviços</w:t>
      </w:r>
      <w:r w:rsidRPr="00F02ABE">
        <w:rPr>
          <w:rFonts w:ascii="Times New Roman" w:hAnsi="Times New Roman"/>
          <w:sz w:val="24"/>
          <w:szCs w:val="24"/>
          <w:lang w:eastAsia="pt-BR"/>
        </w:rPr>
        <w:t xml:space="preserve">, com </w:t>
      </w:r>
      <w:r w:rsidR="006944E3">
        <w:rPr>
          <w:rFonts w:ascii="Times New Roman" w:hAnsi="Times New Roman"/>
          <w:sz w:val="24"/>
          <w:szCs w:val="24"/>
          <w:lang w:eastAsia="pt-BR"/>
        </w:rPr>
        <w:t>64,37</w:t>
      </w:r>
      <w:r>
        <w:rPr>
          <w:rFonts w:ascii="Times New Roman" w:hAnsi="Times New Roman"/>
          <w:sz w:val="24"/>
          <w:szCs w:val="24"/>
          <w:lang w:eastAsia="pt-BR"/>
        </w:rPr>
        <w:t xml:space="preserve">% </w:t>
      </w:r>
      <w:r w:rsidRPr="00F02ABE">
        <w:rPr>
          <w:rFonts w:ascii="Times New Roman" w:hAnsi="Times New Roman"/>
          <w:sz w:val="24"/>
          <w:szCs w:val="24"/>
          <w:lang w:eastAsia="pt-BR"/>
        </w:rPr>
        <w:t xml:space="preserve">do total das arrecadações no âmbito do IFPI até o final do </w:t>
      </w:r>
      <w:r w:rsidR="006944E3">
        <w:rPr>
          <w:rFonts w:ascii="Times New Roman" w:hAnsi="Times New Roman"/>
          <w:sz w:val="24"/>
          <w:szCs w:val="24"/>
          <w:lang w:eastAsia="pt-BR"/>
        </w:rPr>
        <w:t>4</w:t>
      </w:r>
      <w:r w:rsidRPr="00F02ABE">
        <w:rPr>
          <w:rFonts w:ascii="Times New Roman" w:hAnsi="Times New Roman"/>
          <w:sz w:val="24"/>
          <w:szCs w:val="24"/>
          <w:lang w:eastAsia="pt-BR"/>
        </w:rPr>
        <w:t>º trimestre.</w:t>
      </w:r>
    </w:p>
    <w:p w14:paraId="0A3DF5B6" w14:textId="6CB06BB0"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Essa arrecadação refere-se a </w:t>
      </w:r>
      <w:r w:rsidR="00992470">
        <w:rPr>
          <w:rFonts w:ascii="Times New Roman" w:hAnsi="Times New Roman"/>
          <w:sz w:val="24"/>
          <w:szCs w:val="24"/>
          <w:lang w:eastAsia="pt-BR"/>
        </w:rPr>
        <w:t>Serviços Administrati</w:t>
      </w:r>
      <w:r w:rsidR="00AD72B7">
        <w:rPr>
          <w:rFonts w:ascii="Times New Roman" w:hAnsi="Times New Roman"/>
          <w:sz w:val="24"/>
          <w:szCs w:val="24"/>
          <w:lang w:eastAsia="pt-BR"/>
        </w:rPr>
        <w:t>vos e Comerciais Gerais</w:t>
      </w:r>
      <w:r>
        <w:rPr>
          <w:rFonts w:ascii="Times New Roman" w:hAnsi="Times New Roman"/>
          <w:sz w:val="24"/>
          <w:szCs w:val="24"/>
          <w:lang w:eastAsia="pt-BR"/>
        </w:rPr>
        <w:t>.</w:t>
      </w:r>
      <w:r w:rsidRPr="00F02ABE">
        <w:rPr>
          <w:rFonts w:ascii="Times New Roman" w:hAnsi="Times New Roman"/>
          <w:sz w:val="24"/>
          <w:szCs w:val="24"/>
          <w:lang w:eastAsia="pt-BR"/>
        </w:rPr>
        <w:t xml:space="preserve"> </w:t>
      </w:r>
    </w:p>
    <w:p w14:paraId="06080550"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lang w:eastAsia="pt-BR"/>
        </w:rPr>
      </w:pPr>
    </w:p>
    <w:p w14:paraId="7CC07865"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lang w:eastAsia="pt-BR"/>
        </w:rPr>
      </w:pPr>
      <w:r w:rsidRPr="00F02ABE">
        <w:rPr>
          <w:rFonts w:ascii="Times New Roman" w:hAnsi="Times New Roman"/>
          <w:b/>
          <w:bCs/>
          <w:sz w:val="24"/>
          <w:szCs w:val="24"/>
          <w:lang w:eastAsia="pt-BR"/>
        </w:rPr>
        <w:t>Tabela 2 – Origem das receitas arrecadadas – Composição</w:t>
      </w:r>
    </w:p>
    <w:p w14:paraId="7ED7AC94"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Cs/>
          <w:sz w:val="24"/>
          <w:szCs w:val="24"/>
          <w:lang w:eastAsia="pt-BR"/>
        </w:rPr>
      </w:pPr>
      <w:r w:rsidRPr="00F02ABE">
        <w:rPr>
          <w:rFonts w:ascii="Times New Roman" w:hAnsi="Times New Roman"/>
          <w:bCs/>
          <w:sz w:val="24"/>
          <w:szCs w:val="24"/>
          <w:lang w:eastAsia="pt-BR"/>
        </w:rPr>
        <w:t xml:space="preserve">                                                                                                                                          </w:t>
      </w:r>
      <w:r>
        <w:rPr>
          <w:rFonts w:ascii="Times New Roman" w:hAnsi="Times New Roman"/>
          <w:bCs/>
          <w:sz w:val="24"/>
          <w:szCs w:val="24"/>
          <w:lang w:eastAsia="pt-BR"/>
        </w:rPr>
        <w:t xml:space="preserve">                               </w:t>
      </w:r>
      <w:r w:rsidRPr="00F02ABE">
        <w:rPr>
          <w:rFonts w:ascii="Times New Roman" w:hAnsi="Times New Roman"/>
          <w:bCs/>
          <w:sz w:val="24"/>
          <w:szCs w:val="24"/>
          <w:lang w:eastAsia="pt-BR"/>
        </w:rPr>
        <w:t>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268"/>
        <w:gridCol w:w="1956"/>
        <w:gridCol w:w="1956"/>
      </w:tblGrid>
      <w:tr w:rsidR="00CB2FF5" w:rsidRPr="00F02ABE" w14:paraId="63FA8C14" w14:textId="77777777" w:rsidTr="00242CBD">
        <w:tc>
          <w:tcPr>
            <w:tcW w:w="4815" w:type="dxa"/>
          </w:tcPr>
          <w:p w14:paraId="3304AD91"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Origem da Receita</w:t>
            </w:r>
          </w:p>
        </w:tc>
        <w:tc>
          <w:tcPr>
            <w:tcW w:w="2268" w:type="dxa"/>
          </w:tcPr>
          <w:p w14:paraId="55835AA2"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Receitas Realizadas</w:t>
            </w:r>
          </w:p>
        </w:tc>
        <w:tc>
          <w:tcPr>
            <w:tcW w:w="1956" w:type="dxa"/>
          </w:tcPr>
          <w:p w14:paraId="2B38D337"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 Composição</w:t>
            </w:r>
          </w:p>
        </w:tc>
        <w:tc>
          <w:tcPr>
            <w:tcW w:w="1956" w:type="dxa"/>
          </w:tcPr>
          <w:p w14:paraId="3E0BC111"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AV(%)</w:t>
            </w:r>
          </w:p>
        </w:tc>
      </w:tr>
      <w:tr w:rsidR="00CB2FF5" w:rsidRPr="00F02ABE" w14:paraId="2D8BCF63" w14:textId="77777777" w:rsidTr="00242CBD">
        <w:tc>
          <w:tcPr>
            <w:tcW w:w="4815" w:type="dxa"/>
          </w:tcPr>
          <w:p w14:paraId="1DDCD27B"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Receita Patrimonial</w:t>
            </w:r>
          </w:p>
        </w:tc>
        <w:tc>
          <w:tcPr>
            <w:tcW w:w="2268" w:type="dxa"/>
          </w:tcPr>
          <w:p w14:paraId="3B836BC9" w14:textId="6CA9C0B3" w:rsidR="00CB2FF5" w:rsidRPr="00F02ABE" w:rsidRDefault="00A47556"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83.349,80</w:t>
            </w:r>
          </w:p>
        </w:tc>
        <w:tc>
          <w:tcPr>
            <w:tcW w:w="1956" w:type="dxa"/>
          </w:tcPr>
          <w:p w14:paraId="3BCAD337" w14:textId="69A421FC" w:rsidR="00CB2FF5" w:rsidRPr="00F02ABE" w:rsidRDefault="009E0D34"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w:t>
            </w:r>
            <w:r w:rsidR="0094678B">
              <w:rPr>
                <w:rFonts w:ascii="Times New Roman" w:hAnsi="Times New Roman"/>
                <w:sz w:val="24"/>
                <w:szCs w:val="24"/>
              </w:rPr>
              <w:t>60,08</w:t>
            </w:r>
          </w:p>
        </w:tc>
        <w:tc>
          <w:tcPr>
            <w:tcW w:w="1956" w:type="dxa"/>
          </w:tcPr>
          <w:p w14:paraId="6F15AC9C" w14:textId="549BB0BB" w:rsidR="00CB2FF5" w:rsidRDefault="009E0D34"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9,</w:t>
            </w:r>
            <w:r w:rsidR="0094678B">
              <w:rPr>
                <w:rFonts w:ascii="Times New Roman" w:hAnsi="Times New Roman"/>
                <w:sz w:val="24"/>
                <w:szCs w:val="24"/>
              </w:rPr>
              <w:t>24</w:t>
            </w:r>
          </w:p>
        </w:tc>
      </w:tr>
      <w:tr w:rsidR="00CB2FF5" w:rsidRPr="00F02ABE" w14:paraId="5D089C75" w14:textId="77777777" w:rsidTr="00242CBD">
        <w:tc>
          <w:tcPr>
            <w:tcW w:w="4815" w:type="dxa"/>
          </w:tcPr>
          <w:p w14:paraId="679FE666" w14:textId="77777777" w:rsidR="00CB2FF5" w:rsidRDefault="00CB2FF5" w:rsidP="00242C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Receita Agropecuária</w:t>
            </w:r>
          </w:p>
        </w:tc>
        <w:tc>
          <w:tcPr>
            <w:tcW w:w="2268" w:type="dxa"/>
          </w:tcPr>
          <w:p w14:paraId="7C56C44C" w14:textId="1E3BBDD2" w:rsidR="00CB2FF5" w:rsidRDefault="00A47556"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1,00</w:t>
            </w:r>
          </w:p>
        </w:tc>
        <w:tc>
          <w:tcPr>
            <w:tcW w:w="1956" w:type="dxa"/>
          </w:tcPr>
          <w:p w14:paraId="27B5915F" w14:textId="77777777" w:rsidR="00CB2FF5" w:rsidRDefault="00CB2FF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956" w:type="dxa"/>
          </w:tcPr>
          <w:p w14:paraId="7B96A36E" w14:textId="77777777" w:rsidR="00CB2FF5"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r>
      <w:tr w:rsidR="00CB2FF5" w:rsidRPr="00F02ABE" w14:paraId="217F7A3D" w14:textId="77777777" w:rsidTr="00242CBD">
        <w:tc>
          <w:tcPr>
            <w:tcW w:w="4815" w:type="dxa"/>
          </w:tcPr>
          <w:p w14:paraId="2E672B1E"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Receita de Serviços</w:t>
            </w:r>
          </w:p>
        </w:tc>
        <w:tc>
          <w:tcPr>
            <w:tcW w:w="2268" w:type="dxa"/>
          </w:tcPr>
          <w:p w14:paraId="46EDE5FB" w14:textId="72C0E805" w:rsidR="00CB2FF5" w:rsidRPr="00F02ABE" w:rsidRDefault="00A47556"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580.</w:t>
            </w:r>
            <w:r w:rsidR="00913933">
              <w:rPr>
                <w:rFonts w:ascii="Times New Roman" w:hAnsi="Times New Roman"/>
                <w:sz w:val="24"/>
                <w:szCs w:val="24"/>
              </w:rPr>
              <w:t>541,32</w:t>
            </w:r>
          </w:p>
        </w:tc>
        <w:tc>
          <w:tcPr>
            <w:tcW w:w="1956" w:type="dxa"/>
          </w:tcPr>
          <w:p w14:paraId="2F9C9DFC" w14:textId="656757E0" w:rsidR="00CB2FF5" w:rsidRPr="00F02ABE" w:rsidRDefault="004933CB"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681,71</w:t>
            </w:r>
          </w:p>
        </w:tc>
        <w:tc>
          <w:tcPr>
            <w:tcW w:w="1956" w:type="dxa"/>
          </w:tcPr>
          <w:p w14:paraId="2665912F" w14:textId="0B754A81" w:rsidR="00CB2FF5" w:rsidRDefault="004933CB"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64,37</w:t>
            </w:r>
          </w:p>
        </w:tc>
      </w:tr>
      <w:tr w:rsidR="00CB2FF5" w:rsidRPr="00F02ABE" w14:paraId="486F4C34" w14:textId="77777777" w:rsidTr="00242CBD">
        <w:tc>
          <w:tcPr>
            <w:tcW w:w="4815" w:type="dxa"/>
          </w:tcPr>
          <w:p w14:paraId="3281388C"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Outras Receitas Correntes</w:t>
            </w:r>
          </w:p>
        </w:tc>
        <w:tc>
          <w:tcPr>
            <w:tcW w:w="2268" w:type="dxa"/>
          </w:tcPr>
          <w:p w14:paraId="22632A27" w14:textId="38521865" w:rsidR="00CB2FF5" w:rsidRPr="00F02ABE" w:rsidRDefault="00913933"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238.013,35</w:t>
            </w:r>
          </w:p>
        </w:tc>
        <w:tc>
          <w:tcPr>
            <w:tcW w:w="1956" w:type="dxa"/>
          </w:tcPr>
          <w:p w14:paraId="5154E518"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956" w:type="dxa"/>
          </w:tcPr>
          <w:p w14:paraId="40E5BC22" w14:textId="14436847" w:rsidR="00CB2FF5" w:rsidRDefault="00486122"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26,39</w:t>
            </w:r>
          </w:p>
        </w:tc>
      </w:tr>
      <w:tr w:rsidR="00CB2FF5" w:rsidRPr="00F02ABE" w14:paraId="370563E0" w14:textId="77777777" w:rsidTr="00242CBD">
        <w:tc>
          <w:tcPr>
            <w:tcW w:w="4815" w:type="dxa"/>
          </w:tcPr>
          <w:p w14:paraId="70CB3749"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Alienação de Bens</w:t>
            </w:r>
          </w:p>
        </w:tc>
        <w:tc>
          <w:tcPr>
            <w:tcW w:w="2268" w:type="dxa"/>
          </w:tcPr>
          <w:p w14:paraId="3F14E7E7" w14:textId="7135D4E9" w:rsidR="00CB2FF5" w:rsidRPr="00F02ABE" w:rsidRDefault="00913933"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1956" w:type="dxa"/>
          </w:tcPr>
          <w:p w14:paraId="2011507A"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956" w:type="dxa"/>
          </w:tcPr>
          <w:p w14:paraId="53491DB4" w14:textId="77777777" w:rsidR="00CB2FF5" w:rsidRDefault="00CB2FF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CB2FF5" w:rsidRPr="00F02ABE" w14:paraId="40E65415" w14:textId="77777777" w:rsidTr="00242CBD">
        <w:tc>
          <w:tcPr>
            <w:tcW w:w="4815" w:type="dxa"/>
          </w:tcPr>
          <w:p w14:paraId="64D547EA"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TOTAL</w:t>
            </w:r>
          </w:p>
        </w:tc>
        <w:tc>
          <w:tcPr>
            <w:tcW w:w="2268" w:type="dxa"/>
          </w:tcPr>
          <w:p w14:paraId="6534B70B" w14:textId="2D1A9CEC" w:rsidR="00CB2FF5" w:rsidRPr="00F02ABE" w:rsidRDefault="00FD518E"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901.905,47</w:t>
            </w:r>
          </w:p>
        </w:tc>
        <w:tc>
          <w:tcPr>
            <w:tcW w:w="1956" w:type="dxa"/>
          </w:tcPr>
          <w:p w14:paraId="325F1570" w14:textId="6CD7F977" w:rsidR="00CB2FF5" w:rsidRPr="00F02ABE" w:rsidRDefault="00D57D9E"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448,13</w:t>
            </w:r>
          </w:p>
        </w:tc>
        <w:tc>
          <w:tcPr>
            <w:tcW w:w="1956" w:type="dxa"/>
          </w:tcPr>
          <w:p w14:paraId="04C62782"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100</w:t>
            </w:r>
          </w:p>
        </w:tc>
      </w:tr>
    </w:tbl>
    <w:p w14:paraId="5F3489C3" w14:textId="77777777" w:rsidR="00CB2FF5" w:rsidRPr="00A46877" w:rsidRDefault="00CB2FF5" w:rsidP="00CB2FF5">
      <w:pPr>
        <w:spacing w:after="0" w:line="240" w:lineRule="auto"/>
        <w:ind w:left="1701"/>
        <w:jc w:val="both"/>
        <w:rPr>
          <w:rFonts w:ascii="Times New Roman" w:hAnsi="Times New Roman"/>
          <w:sz w:val="20"/>
          <w:szCs w:val="20"/>
        </w:rPr>
      </w:pPr>
      <w:r w:rsidRPr="00A46877">
        <w:rPr>
          <w:rFonts w:ascii="Times New Roman" w:hAnsi="Times New Roman"/>
          <w:sz w:val="20"/>
          <w:szCs w:val="20"/>
        </w:rPr>
        <w:t>Fonte: SIAFI Web, 202</w:t>
      </w:r>
      <w:r>
        <w:rPr>
          <w:rFonts w:ascii="Times New Roman" w:hAnsi="Times New Roman"/>
          <w:sz w:val="20"/>
          <w:szCs w:val="20"/>
        </w:rPr>
        <w:t>4</w:t>
      </w:r>
      <w:r w:rsidRPr="00A46877">
        <w:rPr>
          <w:rFonts w:ascii="Times New Roman" w:hAnsi="Times New Roman"/>
          <w:sz w:val="20"/>
          <w:szCs w:val="20"/>
        </w:rPr>
        <w:t>.</w:t>
      </w:r>
    </w:p>
    <w:p w14:paraId="7D95D966"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rPr>
      </w:pPr>
    </w:p>
    <w:p w14:paraId="78C21CE8"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rPr>
      </w:pPr>
      <w:r w:rsidRPr="00F02ABE">
        <w:rPr>
          <w:rFonts w:ascii="Times New Roman" w:hAnsi="Times New Roman"/>
          <w:b/>
          <w:sz w:val="24"/>
          <w:szCs w:val="24"/>
        </w:rPr>
        <w:lastRenderedPageBreak/>
        <w:t>5.2 Despesas</w:t>
      </w:r>
    </w:p>
    <w:p w14:paraId="49DBDE0D"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rPr>
      </w:pPr>
    </w:p>
    <w:p w14:paraId="12E2769C"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Conforme definido anteriormente, a despesa pública corresponde ao compromisso de gasto dos recursos públicos, autorizados pelo Poder Legislativo, com o fim de atender a uma necessidade da coletividade, prevista/fixada no orçamento.</w:t>
      </w:r>
    </w:p>
    <w:p w14:paraId="14ED0901" w14:textId="1208F43F"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As despesas empenhadas no </w:t>
      </w:r>
      <w:r w:rsidR="00DB4DF5">
        <w:rPr>
          <w:rFonts w:ascii="Times New Roman" w:hAnsi="Times New Roman"/>
          <w:sz w:val="24"/>
          <w:szCs w:val="24"/>
          <w:lang w:eastAsia="pt-BR"/>
        </w:rPr>
        <w:t>4</w:t>
      </w:r>
      <w:r w:rsidRPr="00F02ABE">
        <w:rPr>
          <w:rFonts w:ascii="Times New Roman" w:hAnsi="Times New Roman"/>
          <w:sz w:val="24"/>
          <w:szCs w:val="24"/>
          <w:lang w:eastAsia="pt-BR"/>
        </w:rPr>
        <w:t xml:space="preserve">º trimestre, na categoria econômica Despesas Correntes, corresponderam a </w:t>
      </w:r>
      <w:r w:rsidR="00AE5B51">
        <w:rPr>
          <w:rFonts w:ascii="Times New Roman" w:hAnsi="Times New Roman"/>
          <w:sz w:val="24"/>
          <w:szCs w:val="24"/>
          <w:lang w:eastAsia="pt-BR"/>
        </w:rPr>
        <w:t>9</w:t>
      </w:r>
      <w:r w:rsidR="00F72A8D">
        <w:rPr>
          <w:rFonts w:ascii="Times New Roman" w:hAnsi="Times New Roman"/>
          <w:sz w:val="24"/>
          <w:szCs w:val="24"/>
          <w:lang w:eastAsia="pt-BR"/>
        </w:rPr>
        <w:t>6,79</w:t>
      </w:r>
      <w:r w:rsidRPr="00F02ABE">
        <w:rPr>
          <w:rFonts w:ascii="Times New Roman" w:hAnsi="Times New Roman"/>
          <w:sz w:val="24"/>
          <w:szCs w:val="24"/>
          <w:lang w:eastAsia="pt-BR"/>
        </w:rPr>
        <w:t>% d</w:t>
      </w:r>
      <w:r w:rsidR="0013100C">
        <w:rPr>
          <w:rFonts w:ascii="Times New Roman" w:hAnsi="Times New Roman"/>
          <w:sz w:val="24"/>
          <w:szCs w:val="24"/>
          <w:lang w:eastAsia="pt-BR"/>
        </w:rPr>
        <w:t xml:space="preserve">o total das </w:t>
      </w:r>
      <w:r w:rsidR="00417013">
        <w:rPr>
          <w:rFonts w:ascii="Times New Roman" w:hAnsi="Times New Roman"/>
          <w:sz w:val="24"/>
          <w:szCs w:val="24"/>
          <w:lang w:eastAsia="pt-BR"/>
        </w:rPr>
        <w:t>Despesas Empenhadas</w:t>
      </w:r>
      <w:r w:rsidRPr="00F02ABE">
        <w:rPr>
          <w:rFonts w:ascii="Times New Roman" w:hAnsi="Times New Roman"/>
          <w:sz w:val="24"/>
          <w:szCs w:val="24"/>
          <w:lang w:eastAsia="pt-BR"/>
        </w:rPr>
        <w:t xml:space="preserve">; e quanto às Despesas de Capital tivemos uma execução de </w:t>
      </w:r>
      <w:r w:rsidR="002619B0">
        <w:rPr>
          <w:rFonts w:ascii="Times New Roman" w:hAnsi="Times New Roman"/>
          <w:sz w:val="24"/>
          <w:szCs w:val="24"/>
          <w:lang w:eastAsia="pt-BR"/>
        </w:rPr>
        <w:t>581,96</w:t>
      </w:r>
      <w:r>
        <w:rPr>
          <w:rFonts w:ascii="Times New Roman" w:hAnsi="Times New Roman"/>
          <w:sz w:val="24"/>
          <w:szCs w:val="24"/>
          <w:lang w:eastAsia="pt-BR"/>
        </w:rPr>
        <w:t xml:space="preserve">%, em decorrência do recebimento de Termos de Execução Descentralizados de outros Órgãos </w:t>
      </w:r>
      <w:r w:rsidR="002619B0">
        <w:rPr>
          <w:rFonts w:ascii="Times New Roman" w:hAnsi="Times New Roman"/>
          <w:sz w:val="24"/>
          <w:szCs w:val="24"/>
          <w:lang w:eastAsia="pt-BR"/>
        </w:rPr>
        <w:t>para a construção dos novos campi</w:t>
      </w:r>
      <w:r w:rsidR="002D6016">
        <w:rPr>
          <w:rFonts w:ascii="Times New Roman" w:hAnsi="Times New Roman"/>
          <w:sz w:val="24"/>
          <w:szCs w:val="24"/>
          <w:lang w:eastAsia="pt-BR"/>
        </w:rPr>
        <w:t xml:space="preserve"> do IFPI</w:t>
      </w:r>
      <w:r w:rsidR="00C9440B">
        <w:rPr>
          <w:rFonts w:ascii="Times New Roman" w:hAnsi="Times New Roman"/>
          <w:sz w:val="24"/>
          <w:szCs w:val="24"/>
          <w:lang w:eastAsia="pt-BR"/>
        </w:rPr>
        <w:t>.</w:t>
      </w:r>
      <w:r>
        <w:rPr>
          <w:rFonts w:ascii="Times New Roman" w:hAnsi="Times New Roman"/>
          <w:sz w:val="24"/>
          <w:szCs w:val="24"/>
          <w:lang w:eastAsia="pt-BR"/>
        </w:rPr>
        <w:t xml:space="preserve">  </w:t>
      </w:r>
    </w:p>
    <w:p w14:paraId="647F2608" w14:textId="77777777"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7CE2E35C"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rPr>
      </w:pPr>
    </w:p>
    <w:p w14:paraId="27393430" w14:textId="77777777" w:rsidR="00CB2FF5" w:rsidRDefault="00CB2FF5" w:rsidP="00CB2FF5">
      <w:pPr>
        <w:autoSpaceDE w:val="0"/>
        <w:autoSpaceDN w:val="0"/>
        <w:adjustRightInd w:val="0"/>
        <w:spacing w:after="0" w:line="240" w:lineRule="auto"/>
        <w:ind w:left="1701"/>
        <w:jc w:val="both"/>
        <w:rPr>
          <w:rFonts w:ascii="Times New Roman" w:hAnsi="Times New Roman"/>
          <w:b/>
          <w:sz w:val="24"/>
          <w:szCs w:val="24"/>
        </w:rPr>
      </w:pPr>
      <w:r w:rsidRPr="00F02ABE">
        <w:rPr>
          <w:rFonts w:ascii="Times New Roman" w:hAnsi="Times New Roman"/>
          <w:b/>
          <w:sz w:val="24"/>
          <w:szCs w:val="24"/>
        </w:rPr>
        <w:t>Tabela 3 - Despesas executadas por Categoria Econômica</w:t>
      </w:r>
    </w:p>
    <w:p w14:paraId="5893E157" w14:textId="77777777" w:rsidR="00CB2FF5" w:rsidRDefault="00CB2FF5" w:rsidP="00CB2FF5">
      <w:pPr>
        <w:autoSpaceDE w:val="0"/>
        <w:autoSpaceDN w:val="0"/>
        <w:adjustRightInd w:val="0"/>
        <w:spacing w:after="0" w:line="240" w:lineRule="auto"/>
        <w:ind w:left="170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3017"/>
        <w:gridCol w:w="2592"/>
        <w:gridCol w:w="1551"/>
        <w:gridCol w:w="1674"/>
      </w:tblGrid>
      <w:tr w:rsidR="00CB2FF5" w:rsidRPr="00F02ABE" w14:paraId="7B7E7972" w14:textId="77777777" w:rsidTr="00242CBD">
        <w:tc>
          <w:tcPr>
            <w:tcW w:w="2891" w:type="dxa"/>
          </w:tcPr>
          <w:p w14:paraId="3C38A085"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sz w:val="24"/>
                <w:szCs w:val="24"/>
              </w:rPr>
              <w:t xml:space="preserve">                                                                                                                                                                        </w:t>
            </w:r>
            <w:r>
              <w:rPr>
                <w:rFonts w:ascii="Times New Roman" w:hAnsi="Times New Roman"/>
                <w:sz w:val="24"/>
                <w:szCs w:val="24"/>
              </w:rPr>
              <w:t xml:space="preserve">                          </w:t>
            </w:r>
            <w:r w:rsidRPr="00F02ABE">
              <w:rPr>
                <w:rFonts w:ascii="Times New Roman" w:hAnsi="Times New Roman"/>
                <w:b/>
                <w:sz w:val="24"/>
                <w:szCs w:val="24"/>
              </w:rPr>
              <w:t>Categoria Econômica</w:t>
            </w:r>
          </w:p>
        </w:tc>
        <w:tc>
          <w:tcPr>
            <w:tcW w:w="3017" w:type="dxa"/>
          </w:tcPr>
          <w:p w14:paraId="6372E6F4"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Dotação Atualizada</w:t>
            </w:r>
          </w:p>
        </w:tc>
        <w:tc>
          <w:tcPr>
            <w:tcW w:w="2592" w:type="dxa"/>
          </w:tcPr>
          <w:p w14:paraId="4A131A46"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Despesas Empenhadas</w:t>
            </w:r>
          </w:p>
        </w:tc>
        <w:tc>
          <w:tcPr>
            <w:tcW w:w="1551" w:type="dxa"/>
          </w:tcPr>
          <w:p w14:paraId="59E3BE07"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 Execução</w:t>
            </w:r>
          </w:p>
        </w:tc>
        <w:tc>
          <w:tcPr>
            <w:tcW w:w="1674" w:type="dxa"/>
          </w:tcPr>
          <w:p w14:paraId="10FE0124"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AV(%)</w:t>
            </w:r>
          </w:p>
        </w:tc>
      </w:tr>
      <w:tr w:rsidR="00CB2FF5" w:rsidRPr="00F02ABE" w14:paraId="42EE99E2" w14:textId="77777777" w:rsidTr="00242CBD">
        <w:tc>
          <w:tcPr>
            <w:tcW w:w="2891" w:type="dxa"/>
          </w:tcPr>
          <w:p w14:paraId="3E061389"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Despesas Correntes</w:t>
            </w:r>
          </w:p>
        </w:tc>
        <w:tc>
          <w:tcPr>
            <w:tcW w:w="3017" w:type="dxa"/>
          </w:tcPr>
          <w:p w14:paraId="0A2831D5" w14:textId="48AFD7A6" w:rsidR="00CB2FF5" w:rsidRPr="00F02ABE" w:rsidRDefault="0066379D" w:rsidP="00380919">
            <w:pPr>
              <w:tabs>
                <w:tab w:val="left" w:pos="1970"/>
              </w:tabs>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641.708.706,00</w:t>
            </w:r>
          </w:p>
        </w:tc>
        <w:tc>
          <w:tcPr>
            <w:tcW w:w="2592" w:type="dxa"/>
          </w:tcPr>
          <w:p w14:paraId="430C81A9" w14:textId="6D933B2B" w:rsidR="00CB2FF5" w:rsidRPr="00F02ABE" w:rsidRDefault="0066379D"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650.870.593,30</w:t>
            </w:r>
          </w:p>
        </w:tc>
        <w:tc>
          <w:tcPr>
            <w:tcW w:w="1551" w:type="dxa"/>
          </w:tcPr>
          <w:p w14:paraId="51D6FC99" w14:textId="72DB1E56" w:rsidR="00CB2FF5" w:rsidRPr="00F02ABE" w:rsidRDefault="0066379D"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101,</w:t>
            </w:r>
            <w:r w:rsidR="00435D02">
              <w:rPr>
                <w:rFonts w:ascii="Times New Roman" w:hAnsi="Times New Roman"/>
                <w:sz w:val="24"/>
                <w:szCs w:val="24"/>
              </w:rPr>
              <w:t>43</w:t>
            </w:r>
          </w:p>
        </w:tc>
        <w:tc>
          <w:tcPr>
            <w:tcW w:w="1674" w:type="dxa"/>
          </w:tcPr>
          <w:p w14:paraId="3FA54902" w14:textId="5D381252" w:rsidR="00CB2FF5" w:rsidRDefault="00435D02"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96,79</w:t>
            </w:r>
          </w:p>
        </w:tc>
      </w:tr>
      <w:tr w:rsidR="00CB2FF5" w:rsidRPr="00F02ABE" w14:paraId="57BB74F4" w14:textId="77777777" w:rsidTr="00242CBD">
        <w:tc>
          <w:tcPr>
            <w:tcW w:w="2891" w:type="dxa"/>
          </w:tcPr>
          <w:p w14:paraId="569249DE"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Despesas de Capital</w:t>
            </w:r>
          </w:p>
        </w:tc>
        <w:tc>
          <w:tcPr>
            <w:tcW w:w="3017" w:type="dxa"/>
          </w:tcPr>
          <w:p w14:paraId="4528B086" w14:textId="413C760F" w:rsidR="00CB2FF5" w:rsidRPr="00F02ABE" w:rsidRDefault="00E32A4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3.703.249,00</w:t>
            </w:r>
          </w:p>
        </w:tc>
        <w:tc>
          <w:tcPr>
            <w:tcW w:w="2592" w:type="dxa"/>
          </w:tcPr>
          <w:p w14:paraId="4508ED94" w14:textId="459F9031" w:rsidR="00CB2FF5" w:rsidRPr="00F02ABE" w:rsidRDefault="00CD3E90"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21.551.371,29</w:t>
            </w:r>
          </w:p>
        </w:tc>
        <w:tc>
          <w:tcPr>
            <w:tcW w:w="1551" w:type="dxa"/>
          </w:tcPr>
          <w:p w14:paraId="028F2BFF" w14:textId="14F0D278" w:rsidR="00CB2FF5" w:rsidRPr="00F02ABE" w:rsidRDefault="00CD3E90"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581,96</w:t>
            </w:r>
          </w:p>
        </w:tc>
        <w:tc>
          <w:tcPr>
            <w:tcW w:w="1674" w:type="dxa"/>
          </w:tcPr>
          <w:p w14:paraId="49979853" w14:textId="13360DC4" w:rsidR="00CB2FF5" w:rsidRDefault="00CD3E90"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3,21</w:t>
            </w:r>
          </w:p>
        </w:tc>
      </w:tr>
      <w:tr w:rsidR="00CB2FF5" w:rsidRPr="00F02ABE" w14:paraId="323EBB74" w14:textId="77777777" w:rsidTr="00242CBD">
        <w:tc>
          <w:tcPr>
            <w:tcW w:w="2891" w:type="dxa"/>
          </w:tcPr>
          <w:p w14:paraId="4D82AC73"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Total das Despesas</w:t>
            </w:r>
          </w:p>
        </w:tc>
        <w:tc>
          <w:tcPr>
            <w:tcW w:w="3017" w:type="dxa"/>
          </w:tcPr>
          <w:p w14:paraId="291EA2A0" w14:textId="1438AA5E" w:rsidR="00CB2FF5" w:rsidRPr="008A5B4F" w:rsidRDefault="00BB3470" w:rsidP="00242CBD">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645.411.990,00</w:t>
            </w:r>
          </w:p>
        </w:tc>
        <w:tc>
          <w:tcPr>
            <w:tcW w:w="2592" w:type="dxa"/>
          </w:tcPr>
          <w:p w14:paraId="1751AEB7" w14:textId="079F3726" w:rsidR="00CB2FF5" w:rsidRPr="00F02ABE" w:rsidRDefault="00BB3470"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672.421</w:t>
            </w:r>
            <w:r w:rsidR="00915DFB">
              <w:rPr>
                <w:rFonts w:ascii="Times New Roman" w:hAnsi="Times New Roman"/>
                <w:b/>
                <w:sz w:val="24"/>
                <w:szCs w:val="24"/>
              </w:rPr>
              <w:t>.</w:t>
            </w:r>
            <w:r>
              <w:rPr>
                <w:rFonts w:ascii="Times New Roman" w:hAnsi="Times New Roman"/>
                <w:b/>
                <w:sz w:val="24"/>
                <w:szCs w:val="24"/>
              </w:rPr>
              <w:t>96</w:t>
            </w:r>
            <w:r w:rsidR="00915DFB">
              <w:rPr>
                <w:rFonts w:ascii="Times New Roman" w:hAnsi="Times New Roman"/>
                <w:b/>
                <w:sz w:val="24"/>
                <w:szCs w:val="24"/>
              </w:rPr>
              <w:t>4,59</w:t>
            </w:r>
          </w:p>
        </w:tc>
        <w:tc>
          <w:tcPr>
            <w:tcW w:w="1551" w:type="dxa"/>
          </w:tcPr>
          <w:p w14:paraId="33A86D1C" w14:textId="140A6D96" w:rsidR="00CB2FF5" w:rsidRPr="00F02ABE" w:rsidRDefault="00915DFB"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104,18</w:t>
            </w:r>
          </w:p>
        </w:tc>
        <w:tc>
          <w:tcPr>
            <w:tcW w:w="1674" w:type="dxa"/>
          </w:tcPr>
          <w:p w14:paraId="5F6EA1B6" w14:textId="1F8F01C9" w:rsidR="00CB2FF5" w:rsidRDefault="00545FBF"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100</w:t>
            </w:r>
          </w:p>
        </w:tc>
      </w:tr>
    </w:tbl>
    <w:p w14:paraId="2BAA200B" w14:textId="77777777" w:rsidR="00CB2FF5" w:rsidRPr="00496F1A" w:rsidRDefault="00CB2FF5" w:rsidP="00CB2FF5">
      <w:pPr>
        <w:autoSpaceDE w:val="0"/>
        <w:autoSpaceDN w:val="0"/>
        <w:adjustRightInd w:val="0"/>
        <w:spacing w:after="0" w:line="240" w:lineRule="auto"/>
        <w:ind w:left="1701"/>
        <w:jc w:val="both"/>
        <w:rPr>
          <w:rFonts w:ascii="Times New Roman" w:hAnsi="Times New Roman"/>
          <w:sz w:val="20"/>
          <w:szCs w:val="20"/>
        </w:rPr>
      </w:pPr>
      <w:r w:rsidRPr="00496F1A">
        <w:rPr>
          <w:rFonts w:ascii="Times New Roman" w:hAnsi="Times New Roman"/>
          <w:sz w:val="20"/>
          <w:szCs w:val="20"/>
        </w:rPr>
        <w:t>Fonte: SIAFI Web, 2024.</w:t>
      </w:r>
    </w:p>
    <w:p w14:paraId="389C03BD"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rPr>
      </w:pPr>
    </w:p>
    <w:p w14:paraId="544836E9"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Na tabela adiante são apresentadas as despesas correntes e de capital executadas por grupo.</w:t>
      </w:r>
    </w:p>
    <w:p w14:paraId="716F6CE5" w14:textId="44688F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Das Despesas Correntes, o grupo que apresentou o maior percentual de execução foi o de Pessoal e Encargos Sociais, com </w:t>
      </w:r>
      <w:r>
        <w:rPr>
          <w:rFonts w:ascii="Times New Roman" w:hAnsi="Times New Roman"/>
          <w:color w:val="000000"/>
          <w:sz w:val="24"/>
          <w:szCs w:val="24"/>
          <w:lang w:eastAsia="pt-BR"/>
        </w:rPr>
        <w:t>9</w:t>
      </w:r>
      <w:r w:rsidR="00AC3B04">
        <w:rPr>
          <w:rFonts w:ascii="Times New Roman" w:hAnsi="Times New Roman"/>
          <w:color w:val="000000"/>
          <w:sz w:val="24"/>
          <w:szCs w:val="24"/>
          <w:lang w:eastAsia="pt-BR"/>
        </w:rPr>
        <w:t>8,99</w:t>
      </w:r>
      <w:r w:rsidRPr="00F02ABE">
        <w:rPr>
          <w:rFonts w:ascii="Times New Roman" w:hAnsi="Times New Roman"/>
          <w:color w:val="000000"/>
          <w:sz w:val="24"/>
          <w:szCs w:val="24"/>
          <w:lang w:eastAsia="pt-BR"/>
        </w:rPr>
        <w:t>% do montante da dotação atualizada</w:t>
      </w:r>
      <w:r>
        <w:rPr>
          <w:rFonts w:ascii="Times New Roman" w:hAnsi="Times New Roman"/>
          <w:color w:val="000000"/>
          <w:sz w:val="24"/>
          <w:szCs w:val="24"/>
          <w:lang w:eastAsia="pt-BR"/>
        </w:rPr>
        <w:t xml:space="preserve"> relacionada com a rubrica citada</w:t>
      </w:r>
      <w:r w:rsidRPr="00F02ABE">
        <w:rPr>
          <w:rFonts w:ascii="Times New Roman" w:hAnsi="Times New Roman"/>
          <w:color w:val="000000"/>
          <w:sz w:val="24"/>
          <w:szCs w:val="24"/>
          <w:lang w:eastAsia="pt-BR"/>
        </w:rPr>
        <w:t xml:space="preserve">; o mesmo representa </w:t>
      </w:r>
      <w:r>
        <w:rPr>
          <w:rFonts w:ascii="Times New Roman" w:hAnsi="Times New Roman"/>
          <w:color w:val="000000"/>
          <w:sz w:val="24"/>
          <w:szCs w:val="24"/>
          <w:lang w:eastAsia="pt-BR"/>
        </w:rPr>
        <w:t>8</w:t>
      </w:r>
      <w:r w:rsidR="00732FCB">
        <w:rPr>
          <w:rFonts w:ascii="Times New Roman" w:hAnsi="Times New Roman"/>
          <w:color w:val="000000"/>
          <w:sz w:val="24"/>
          <w:szCs w:val="24"/>
          <w:lang w:eastAsia="pt-BR"/>
        </w:rPr>
        <w:t>3,87</w:t>
      </w:r>
      <w:r>
        <w:rPr>
          <w:rFonts w:ascii="Times New Roman" w:hAnsi="Times New Roman"/>
          <w:color w:val="000000"/>
          <w:sz w:val="24"/>
          <w:szCs w:val="24"/>
          <w:lang w:eastAsia="pt-BR"/>
        </w:rPr>
        <w:t>%</w:t>
      </w:r>
      <w:r w:rsidRPr="00F02ABE">
        <w:rPr>
          <w:rFonts w:ascii="Times New Roman" w:hAnsi="Times New Roman"/>
          <w:color w:val="000000"/>
          <w:sz w:val="24"/>
          <w:szCs w:val="24"/>
          <w:lang w:eastAsia="pt-BR"/>
        </w:rPr>
        <w:t xml:space="preserve"> do total geral da Dotação Atualizada. Já o grupo relativo a Outras Despesas Correntes, teve a execução correspondente a </w:t>
      </w:r>
      <w:r w:rsidR="006E61DF">
        <w:rPr>
          <w:rFonts w:ascii="Times New Roman" w:hAnsi="Times New Roman"/>
          <w:color w:val="000000"/>
          <w:sz w:val="24"/>
          <w:szCs w:val="24"/>
          <w:lang w:eastAsia="pt-BR"/>
        </w:rPr>
        <w:t>112,</w:t>
      </w:r>
      <w:r w:rsidR="00441D3E">
        <w:rPr>
          <w:rFonts w:ascii="Times New Roman" w:hAnsi="Times New Roman"/>
          <w:color w:val="000000"/>
          <w:sz w:val="24"/>
          <w:szCs w:val="24"/>
          <w:lang w:eastAsia="pt-BR"/>
        </w:rPr>
        <w:t>92</w:t>
      </w:r>
      <w:r w:rsidRPr="00F02ABE">
        <w:rPr>
          <w:rFonts w:ascii="Times New Roman" w:hAnsi="Times New Roman"/>
          <w:color w:val="000000"/>
          <w:sz w:val="24"/>
          <w:szCs w:val="24"/>
          <w:lang w:eastAsia="pt-BR"/>
        </w:rPr>
        <w:t xml:space="preserve">%, representando, </w:t>
      </w:r>
      <w:r>
        <w:rPr>
          <w:rFonts w:ascii="Times New Roman" w:hAnsi="Times New Roman"/>
          <w:color w:val="000000"/>
          <w:sz w:val="24"/>
          <w:szCs w:val="24"/>
          <w:lang w:eastAsia="pt-BR"/>
        </w:rPr>
        <w:t>1</w:t>
      </w:r>
      <w:r w:rsidR="00441D3E">
        <w:rPr>
          <w:rFonts w:ascii="Times New Roman" w:hAnsi="Times New Roman"/>
          <w:color w:val="000000"/>
          <w:sz w:val="24"/>
          <w:szCs w:val="24"/>
          <w:lang w:eastAsia="pt-BR"/>
        </w:rPr>
        <w:t>8,83</w:t>
      </w:r>
      <w:r w:rsidRPr="00F02ABE">
        <w:rPr>
          <w:rFonts w:ascii="Times New Roman" w:hAnsi="Times New Roman"/>
          <w:color w:val="000000"/>
          <w:sz w:val="24"/>
          <w:szCs w:val="24"/>
          <w:lang w:eastAsia="pt-BR"/>
        </w:rPr>
        <w:t>% do total geral da Dotação Atualizada. As despesas empenhadas neste grupo correspondem aos gastos com manutenção e funcionamento da entidade no exercício de 202</w:t>
      </w:r>
      <w:r>
        <w:rPr>
          <w:rFonts w:ascii="Times New Roman" w:hAnsi="Times New Roman"/>
          <w:color w:val="000000"/>
          <w:sz w:val="24"/>
          <w:szCs w:val="24"/>
          <w:lang w:eastAsia="pt-BR"/>
        </w:rPr>
        <w:t>4</w:t>
      </w:r>
      <w:r w:rsidRPr="00F02ABE">
        <w:rPr>
          <w:rFonts w:ascii="Times New Roman" w:hAnsi="Times New Roman"/>
          <w:color w:val="000000"/>
          <w:sz w:val="24"/>
          <w:szCs w:val="24"/>
          <w:lang w:eastAsia="pt-BR"/>
        </w:rPr>
        <w:t>.</w:t>
      </w:r>
      <w:r w:rsidR="000B6101">
        <w:rPr>
          <w:rFonts w:ascii="Times New Roman" w:hAnsi="Times New Roman"/>
          <w:color w:val="000000"/>
          <w:sz w:val="24"/>
          <w:szCs w:val="24"/>
          <w:lang w:eastAsia="pt-BR"/>
        </w:rPr>
        <w:t xml:space="preserve"> Essa execução superior a 100% </w:t>
      </w:r>
      <w:r w:rsidR="005D2986">
        <w:rPr>
          <w:rFonts w:ascii="Times New Roman" w:hAnsi="Times New Roman"/>
          <w:color w:val="000000"/>
          <w:sz w:val="24"/>
          <w:szCs w:val="24"/>
          <w:lang w:eastAsia="pt-BR"/>
        </w:rPr>
        <w:t>acontece quando o IFPI recebe orçamento de outros órgãos através de Termo de Execução Descentralizad</w:t>
      </w:r>
      <w:r w:rsidR="00E04803">
        <w:rPr>
          <w:rFonts w:ascii="Times New Roman" w:hAnsi="Times New Roman"/>
          <w:color w:val="000000"/>
          <w:sz w:val="24"/>
          <w:szCs w:val="24"/>
          <w:lang w:eastAsia="pt-BR"/>
        </w:rPr>
        <w:t>a</w:t>
      </w:r>
      <w:r w:rsidR="00BF4CCC">
        <w:rPr>
          <w:rFonts w:ascii="Times New Roman" w:hAnsi="Times New Roman"/>
          <w:color w:val="000000"/>
          <w:sz w:val="24"/>
          <w:szCs w:val="24"/>
          <w:lang w:eastAsia="pt-BR"/>
        </w:rPr>
        <w:t>.</w:t>
      </w:r>
    </w:p>
    <w:p w14:paraId="5AB18EBE" w14:textId="7C4A1DB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lastRenderedPageBreak/>
        <w:t xml:space="preserve">Quanto às Despesas de Capital foram executadas </w:t>
      </w:r>
      <w:r w:rsidR="00455CA8">
        <w:rPr>
          <w:rFonts w:ascii="Times New Roman" w:hAnsi="Times New Roman"/>
          <w:color w:val="000000"/>
          <w:sz w:val="24"/>
          <w:szCs w:val="24"/>
          <w:lang w:eastAsia="pt-BR"/>
        </w:rPr>
        <w:t>581,96</w:t>
      </w:r>
      <w:r w:rsidRPr="00F02ABE">
        <w:rPr>
          <w:rFonts w:ascii="Times New Roman" w:hAnsi="Times New Roman"/>
          <w:color w:val="000000"/>
          <w:sz w:val="24"/>
          <w:szCs w:val="24"/>
          <w:lang w:eastAsia="pt-BR"/>
        </w:rPr>
        <w:t xml:space="preserve">% no </w:t>
      </w:r>
      <w:r w:rsidR="00455CA8">
        <w:rPr>
          <w:rFonts w:ascii="Times New Roman" w:hAnsi="Times New Roman"/>
          <w:color w:val="000000"/>
          <w:sz w:val="24"/>
          <w:szCs w:val="24"/>
          <w:lang w:eastAsia="pt-BR"/>
        </w:rPr>
        <w:t>quart</w:t>
      </w:r>
      <w:r w:rsidR="00FC126C">
        <w:rPr>
          <w:rFonts w:ascii="Times New Roman" w:hAnsi="Times New Roman"/>
          <w:color w:val="000000"/>
          <w:sz w:val="24"/>
          <w:szCs w:val="24"/>
          <w:lang w:eastAsia="pt-BR"/>
        </w:rPr>
        <w:t xml:space="preserve">o </w:t>
      </w:r>
      <w:r w:rsidRPr="00F02ABE">
        <w:rPr>
          <w:rFonts w:ascii="Times New Roman" w:hAnsi="Times New Roman"/>
          <w:color w:val="000000"/>
          <w:sz w:val="24"/>
          <w:szCs w:val="24"/>
          <w:lang w:eastAsia="pt-BR"/>
        </w:rPr>
        <w:t xml:space="preserve">trimestre </w:t>
      </w:r>
      <w:r>
        <w:rPr>
          <w:rFonts w:ascii="Times New Roman" w:hAnsi="Times New Roman"/>
          <w:color w:val="000000"/>
          <w:sz w:val="24"/>
          <w:szCs w:val="24"/>
          <w:lang w:eastAsia="pt-BR"/>
        </w:rPr>
        <w:t>d</w:t>
      </w:r>
      <w:r w:rsidRPr="00F02ABE">
        <w:rPr>
          <w:rFonts w:ascii="Times New Roman" w:hAnsi="Times New Roman"/>
          <w:color w:val="000000"/>
          <w:sz w:val="24"/>
          <w:szCs w:val="24"/>
          <w:lang w:eastAsia="pt-BR"/>
        </w:rPr>
        <w:t>o exercício de 202</w:t>
      </w:r>
      <w:r>
        <w:rPr>
          <w:rFonts w:ascii="Times New Roman" w:hAnsi="Times New Roman"/>
          <w:color w:val="000000"/>
          <w:sz w:val="24"/>
          <w:szCs w:val="24"/>
          <w:lang w:eastAsia="pt-BR"/>
        </w:rPr>
        <w:t>4</w:t>
      </w:r>
      <w:r w:rsidRPr="00F02ABE">
        <w:rPr>
          <w:rFonts w:ascii="Times New Roman" w:hAnsi="Times New Roman"/>
          <w:color w:val="000000"/>
          <w:sz w:val="24"/>
          <w:szCs w:val="24"/>
          <w:lang w:eastAsia="pt-BR"/>
        </w:rPr>
        <w:t>.</w:t>
      </w:r>
      <w:r w:rsidR="00011E45">
        <w:rPr>
          <w:rFonts w:ascii="Times New Roman" w:hAnsi="Times New Roman"/>
          <w:color w:val="000000"/>
          <w:sz w:val="24"/>
          <w:szCs w:val="24"/>
          <w:lang w:eastAsia="pt-BR"/>
        </w:rPr>
        <w:t xml:space="preserve"> </w:t>
      </w:r>
      <w:r w:rsidR="00F127B1">
        <w:rPr>
          <w:rFonts w:ascii="Times New Roman" w:hAnsi="Times New Roman"/>
          <w:color w:val="000000"/>
          <w:sz w:val="24"/>
          <w:szCs w:val="24"/>
          <w:lang w:eastAsia="pt-BR"/>
        </w:rPr>
        <w:t>Conforme citado, a execução</w:t>
      </w:r>
      <w:r w:rsidR="00F935BC">
        <w:rPr>
          <w:rFonts w:ascii="Times New Roman" w:hAnsi="Times New Roman"/>
          <w:color w:val="000000"/>
          <w:sz w:val="24"/>
          <w:szCs w:val="24"/>
          <w:lang w:eastAsia="pt-BR"/>
        </w:rPr>
        <w:t xml:space="preserve"> das despesas referentes aos </w:t>
      </w:r>
      <w:r w:rsidR="00500B31">
        <w:rPr>
          <w:rFonts w:ascii="Times New Roman" w:hAnsi="Times New Roman"/>
          <w:color w:val="000000"/>
          <w:sz w:val="24"/>
          <w:szCs w:val="24"/>
          <w:lang w:eastAsia="pt-BR"/>
        </w:rPr>
        <w:t>I</w:t>
      </w:r>
      <w:r w:rsidR="00F935BC">
        <w:rPr>
          <w:rFonts w:ascii="Times New Roman" w:hAnsi="Times New Roman"/>
          <w:color w:val="000000"/>
          <w:sz w:val="24"/>
          <w:szCs w:val="24"/>
          <w:lang w:eastAsia="pt-BR"/>
        </w:rPr>
        <w:t>nvestimen</w:t>
      </w:r>
      <w:r w:rsidR="00E57495">
        <w:rPr>
          <w:rFonts w:ascii="Times New Roman" w:hAnsi="Times New Roman"/>
          <w:color w:val="000000"/>
          <w:sz w:val="24"/>
          <w:szCs w:val="24"/>
          <w:lang w:eastAsia="pt-BR"/>
        </w:rPr>
        <w:t>to</w:t>
      </w:r>
      <w:r w:rsidR="009C09E7">
        <w:rPr>
          <w:rFonts w:ascii="Times New Roman" w:hAnsi="Times New Roman"/>
          <w:color w:val="000000"/>
          <w:sz w:val="24"/>
          <w:szCs w:val="24"/>
          <w:lang w:eastAsia="pt-BR"/>
        </w:rPr>
        <w:t>s</w:t>
      </w:r>
      <w:r w:rsidR="00E57495">
        <w:rPr>
          <w:rFonts w:ascii="Times New Roman" w:hAnsi="Times New Roman"/>
          <w:color w:val="000000"/>
          <w:sz w:val="24"/>
          <w:szCs w:val="24"/>
          <w:lang w:eastAsia="pt-BR"/>
        </w:rPr>
        <w:t xml:space="preserve">, foi muito superior ao orçamento </w:t>
      </w:r>
      <w:r w:rsidR="001960A3">
        <w:rPr>
          <w:rFonts w:ascii="Times New Roman" w:hAnsi="Times New Roman"/>
          <w:color w:val="000000"/>
          <w:sz w:val="24"/>
          <w:szCs w:val="24"/>
          <w:lang w:eastAsia="pt-BR"/>
        </w:rPr>
        <w:t>ordinário contido na Lei Orçamentária Anual,</w:t>
      </w:r>
      <w:r w:rsidR="00A63907">
        <w:rPr>
          <w:rFonts w:ascii="Times New Roman" w:hAnsi="Times New Roman"/>
          <w:color w:val="000000"/>
          <w:sz w:val="24"/>
          <w:szCs w:val="24"/>
          <w:lang w:eastAsia="pt-BR"/>
        </w:rPr>
        <w:t xml:space="preserve"> </w:t>
      </w:r>
      <w:r w:rsidR="00FA2C8C">
        <w:rPr>
          <w:rFonts w:ascii="Times New Roman" w:hAnsi="Times New Roman"/>
          <w:color w:val="000000"/>
          <w:sz w:val="24"/>
          <w:szCs w:val="24"/>
          <w:lang w:eastAsia="pt-BR"/>
        </w:rPr>
        <w:t xml:space="preserve">pois o </w:t>
      </w:r>
      <w:r w:rsidR="002372DC">
        <w:rPr>
          <w:rFonts w:ascii="Times New Roman" w:hAnsi="Times New Roman"/>
          <w:color w:val="000000"/>
          <w:sz w:val="24"/>
          <w:szCs w:val="24"/>
          <w:lang w:eastAsia="pt-BR"/>
        </w:rPr>
        <w:t>IFPI recebeu alguns Termos de Execução Descentrali</w:t>
      </w:r>
      <w:r w:rsidR="00500B31">
        <w:rPr>
          <w:rFonts w:ascii="Times New Roman" w:hAnsi="Times New Roman"/>
          <w:color w:val="000000"/>
          <w:sz w:val="24"/>
          <w:szCs w:val="24"/>
          <w:lang w:eastAsia="pt-BR"/>
        </w:rPr>
        <w:t>zada</w:t>
      </w:r>
      <w:r w:rsidR="006A4AC2">
        <w:rPr>
          <w:rFonts w:ascii="Times New Roman" w:hAnsi="Times New Roman"/>
          <w:color w:val="000000"/>
          <w:sz w:val="24"/>
          <w:szCs w:val="24"/>
          <w:lang w:eastAsia="pt-BR"/>
        </w:rPr>
        <w:t xml:space="preserve"> para a construção dos novos Campi e </w:t>
      </w:r>
      <w:r w:rsidR="004C5B53">
        <w:rPr>
          <w:rFonts w:ascii="Times New Roman" w:hAnsi="Times New Roman"/>
          <w:color w:val="000000"/>
          <w:sz w:val="24"/>
          <w:szCs w:val="24"/>
          <w:lang w:eastAsia="pt-BR"/>
        </w:rPr>
        <w:t>demais projetos.</w:t>
      </w:r>
      <w:r>
        <w:rPr>
          <w:rFonts w:ascii="Times New Roman" w:hAnsi="Times New Roman"/>
          <w:color w:val="000000"/>
          <w:sz w:val="24"/>
          <w:szCs w:val="24"/>
          <w:lang w:eastAsia="pt-BR"/>
        </w:rPr>
        <w:t xml:space="preserve"> </w:t>
      </w:r>
    </w:p>
    <w:p w14:paraId="68BDEB1C" w14:textId="77777777" w:rsidR="00CB2FF5"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p>
    <w:p w14:paraId="58F17413" w14:textId="77777777" w:rsidR="00CB2FF5" w:rsidRDefault="00CB2FF5" w:rsidP="00CB2FF5">
      <w:pPr>
        <w:autoSpaceDE w:val="0"/>
        <w:autoSpaceDN w:val="0"/>
        <w:adjustRightInd w:val="0"/>
        <w:spacing w:after="0" w:line="240" w:lineRule="auto"/>
        <w:ind w:left="1701"/>
        <w:jc w:val="both"/>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t>Tabela 4 - Despesas Correntes e de Capital executadas por Grupo</w:t>
      </w:r>
    </w:p>
    <w:p w14:paraId="6CE7D5FF" w14:textId="77777777" w:rsidR="00CB2FF5" w:rsidRPr="00F02ABE" w:rsidRDefault="00CB2FF5" w:rsidP="00CB2FF5">
      <w:pPr>
        <w:autoSpaceDE w:val="0"/>
        <w:autoSpaceDN w:val="0"/>
        <w:adjustRightInd w:val="0"/>
        <w:spacing w:after="0" w:line="240" w:lineRule="auto"/>
        <w:ind w:left="1701"/>
        <w:jc w:val="right"/>
        <w:rPr>
          <w:rFonts w:ascii="Times New Roman" w:hAnsi="Times New Roman"/>
          <w:bCs/>
          <w:color w:val="000000"/>
          <w:sz w:val="24"/>
          <w:szCs w:val="24"/>
          <w:lang w:eastAsia="pt-BR"/>
        </w:rPr>
      </w:pPr>
      <w:r>
        <w:rPr>
          <w:rFonts w:ascii="Times New Roman" w:hAnsi="Times New Roman"/>
          <w:bCs/>
          <w:color w:val="000000"/>
          <w:sz w:val="24"/>
          <w:szCs w:val="24"/>
          <w:lang w:eastAsia="pt-BR"/>
        </w:rPr>
        <w:t xml:space="preserve">                                                                                                                                                                                                       </w:t>
      </w:r>
      <w:r w:rsidRPr="00F02ABE">
        <w:rPr>
          <w:rFonts w:ascii="Times New Roman" w:hAnsi="Times New Roman"/>
          <w:bCs/>
          <w:color w:val="000000"/>
          <w:sz w:val="24"/>
          <w:szCs w:val="24"/>
          <w:lang w:eastAsia="pt-BR"/>
        </w:rPr>
        <w:t xml:space="preserve">                                                                                                                                                                                                                                                 </w:t>
      </w:r>
      <w:r>
        <w:rPr>
          <w:rFonts w:ascii="Times New Roman" w:hAnsi="Times New Roman"/>
          <w:bCs/>
          <w:color w:val="000000"/>
          <w:sz w:val="24"/>
          <w:szCs w:val="24"/>
          <w:lang w:eastAsia="pt-BR"/>
        </w:rPr>
        <w:t xml:space="preserve">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16"/>
        <w:gridCol w:w="2323"/>
        <w:gridCol w:w="2009"/>
        <w:gridCol w:w="1896"/>
      </w:tblGrid>
      <w:tr w:rsidR="00CB2FF5" w:rsidRPr="00F02ABE" w14:paraId="2BBE0E38" w14:textId="77777777" w:rsidTr="00766305">
        <w:tc>
          <w:tcPr>
            <w:tcW w:w="3256" w:type="dxa"/>
          </w:tcPr>
          <w:p w14:paraId="15099332"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GRUPO DESPESA</w:t>
            </w:r>
          </w:p>
        </w:tc>
        <w:tc>
          <w:tcPr>
            <w:tcW w:w="1716" w:type="dxa"/>
          </w:tcPr>
          <w:p w14:paraId="2B60ACDF"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Dotação Atualizada</w:t>
            </w:r>
          </w:p>
        </w:tc>
        <w:tc>
          <w:tcPr>
            <w:tcW w:w="2323" w:type="dxa"/>
          </w:tcPr>
          <w:p w14:paraId="36D4BA55"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Despesas Empenhadas</w:t>
            </w:r>
          </w:p>
        </w:tc>
        <w:tc>
          <w:tcPr>
            <w:tcW w:w="2009" w:type="dxa"/>
          </w:tcPr>
          <w:p w14:paraId="19FD281F"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 xml:space="preserve">AH % </w:t>
            </w:r>
            <w:proofErr w:type="spellStart"/>
            <w:r w:rsidRPr="00F02ABE">
              <w:rPr>
                <w:rFonts w:ascii="Times New Roman" w:hAnsi="Times New Roman"/>
                <w:b/>
                <w:sz w:val="24"/>
                <w:szCs w:val="24"/>
              </w:rPr>
              <w:t>Desp</w:t>
            </w:r>
            <w:proofErr w:type="spellEnd"/>
            <w:r w:rsidRPr="00F02ABE">
              <w:rPr>
                <w:rFonts w:ascii="Times New Roman" w:hAnsi="Times New Roman"/>
                <w:b/>
                <w:sz w:val="24"/>
                <w:szCs w:val="24"/>
              </w:rPr>
              <w:t xml:space="preserve"> </w:t>
            </w:r>
            <w:proofErr w:type="spellStart"/>
            <w:r w:rsidRPr="00F02ABE">
              <w:rPr>
                <w:rFonts w:ascii="Times New Roman" w:hAnsi="Times New Roman"/>
                <w:b/>
                <w:sz w:val="24"/>
                <w:szCs w:val="24"/>
              </w:rPr>
              <w:t>Emp</w:t>
            </w:r>
            <w:proofErr w:type="spellEnd"/>
            <w:r w:rsidRPr="00F02ABE">
              <w:rPr>
                <w:rFonts w:ascii="Times New Roman" w:hAnsi="Times New Roman"/>
                <w:b/>
                <w:sz w:val="24"/>
                <w:szCs w:val="24"/>
              </w:rPr>
              <w:t xml:space="preserve"> / Dotação Atual</w:t>
            </w:r>
          </w:p>
        </w:tc>
        <w:tc>
          <w:tcPr>
            <w:tcW w:w="1896" w:type="dxa"/>
          </w:tcPr>
          <w:p w14:paraId="1FF8ED8D"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AV - (EMP)/(TOTAL DOT)</w:t>
            </w:r>
          </w:p>
        </w:tc>
      </w:tr>
      <w:tr w:rsidR="00CB2FF5" w:rsidRPr="00F02ABE" w14:paraId="0DB051A2" w14:textId="77777777" w:rsidTr="00766305">
        <w:tc>
          <w:tcPr>
            <w:tcW w:w="3256" w:type="dxa"/>
          </w:tcPr>
          <w:p w14:paraId="35344593"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1 - Pessoal e Enc. Sociais</w:t>
            </w:r>
          </w:p>
        </w:tc>
        <w:tc>
          <w:tcPr>
            <w:tcW w:w="1716" w:type="dxa"/>
          </w:tcPr>
          <w:p w14:paraId="315DD9F7" w14:textId="61E32A78" w:rsidR="00CB2FF5" w:rsidRPr="00F02ABE" w:rsidRDefault="00B8215E"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529.560.273,00</w:t>
            </w:r>
          </w:p>
        </w:tc>
        <w:tc>
          <w:tcPr>
            <w:tcW w:w="2323" w:type="dxa"/>
          </w:tcPr>
          <w:p w14:paraId="787FB018" w14:textId="0AEC3BA9" w:rsidR="00CB2FF5" w:rsidRPr="00F02ABE" w:rsidRDefault="00B8215E"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524.229.143,40</w:t>
            </w:r>
          </w:p>
        </w:tc>
        <w:tc>
          <w:tcPr>
            <w:tcW w:w="2009" w:type="dxa"/>
          </w:tcPr>
          <w:p w14:paraId="559380FA" w14:textId="2F1F6DED" w:rsidR="00CB2FF5" w:rsidRPr="00F02ABE" w:rsidRDefault="00A526CF"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98,99</w:t>
            </w:r>
          </w:p>
        </w:tc>
        <w:tc>
          <w:tcPr>
            <w:tcW w:w="1896" w:type="dxa"/>
          </w:tcPr>
          <w:p w14:paraId="16C7E531" w14:textId="2B1E5097" w:rsidR="00CB2FF5" w:rsidRPr="00F02ABE" w:rsidRDefault="00A526CF"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77,96</w:t>
            </w:r>
          </w:p>
        </w:tc>
      </w:tr>
      <w:tr w:rsidR="00CB2FF5" w:rsidRPr="00F02ABE" w14:paraId="1DFF8747" w14:textId="77777777" w:rsidTr="00766305">
        <w:tc>
          <w:tcPr>
            <w:tcW w:w="3256" w:type="dxa"/>
          </w:tcPr>
          <w:p w14:paraId="40387C9B"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2 - Juros e Enc. da Dívida</w:t>
            </w:r>
          </w:p>
        </w:tc>
        <w:tc>
          <w:tcPr>
            <w:tcW w:w="1716" w:type="dxa"/>
          </w:tcPr>
          <w:p w14:paraId="52112E75" w14:textId="450689F2" w:rsidR="00CB2FF5" w:rsidRPr="00F02ABE" w:rsidRDefault="00A526CF"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p>
        </w:tc>
        <w:tc>
          <w:tcPr>
            <w:tcW w:w="2323" w:type="dxa"/>
          </w:tcPr>
          <w:p w14:paraId="78302AC6" w14:textId="26E6E1A2" w:rsidR="00CB2FF5" w:rsidRPr="00F02ABE" w:rsidRDefault="00A526CF"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p>
        </w:tc>
        <w:tc>
          <w:tcPr>
            <w:tcW w:w="2009" w:type="dxa"/>
          </w:tcPr>
          <w:p w14:paraId="6AE5D9D3" w14:textId="026AB9BB" w:rsidR="00CB2FF5" w:rsidRPr="00F02ABE" w:rsidRDefault="00A526CF"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p>
        </w:tc>
        <w:tc>
          <w:tcPr>
            <w:tcW w:w="1896" w:type="dxa"/>
          </w:tcPr>
          <w:p w14:paraId="0EE26313"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p>
        </w:tc>
      </w:tr>
      <w:tr w:rsidR="00CB2FF5" w:rsidRPr="00F02ABE" w14:paraId="456E0507" w14:textId="77777777" w:rsidTr="00766305">
        <w:tc>
          <w:tcPr>
            <w:tcW w:w="3256" w:type="dxa"/>
          </w:tcPr>
          <w:p w14:paraId="6EF56B2F"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3</w:t>
            </w:r>
            <w:r>
              <w:rPr>
                <w:rFonts w:ascii="Times New Roman" w:hAnsi="Times New Roman"/>
                <w:sz w:val="24"/>
                <w:szCs w:val="24"/>
              </w:rPr>
              <w:t xml:space="preserve"> </w:t>
            </w:r>
            <w:r w:rsidRPr="00F02ABE">
              <w:rPr>
                <w:rFonts w:ascii="Times New Roman" w:hAnsi="Times New Roman"/>
                <w:sz w:val="24"/>
                <w:szCs w:val="24"/>
              </w:rPr>
              <w:t>- Outras Despesas Correntes</w:t>
            </w:r>
          </w:p>
        </w:tc>
        <w:tc>
          <w:tcPr>
            <w:tcW w:w="1716" w:type="dxa"/>
          </w:tcPr>
          <w:p w14:paraId="581DD359" w14:textId="213B578F" w:rsidR="00CB2FF5" w:rsidRPr="00F02ABE" w:rsidRDefault="003E64C9"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112.148.433,00</w:t>
            </w:r>
          </w:p>
        </w:tc>
        <w:tc>
          <w:tcPr>
            <w:tcW w:w="2323" w:type="dxa"/>
          </w:tcPr>
          <w:p w14:paraId="0B41DF1E" w14:textId="50937A69" w:rsidR="00CB2FF5" w:rsidRPr="00F02ABE" w:rsidRDefault="003E64C9"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126.641.</w:t>
            </w:r>
            <w:r w:rsidR="003B7AEF">
              <w:rPr>
                <w:rFonts w:ascii="Times New Roman" w:hAnsi="Times New Roman"/>
                <w:sz w:val="24"/>
                <w:szCs w:val="24"/>
              </w:rPr>
              <w:t>449,90</w:t>
            </w:r>
          </w:p>
        </w:tc>
        <w:tc>
          <w:tcPr>
            <w:tcW w:w="2009" w:type="dxa"/>
          </w:tcPr>
          <w:p w14:paraId="791936F2" w14:textId="35DCF859" w:rsidR="00CB2FF5" w:rsidRPr="00F02ABE" w:rsidRDefault="003B7AEF"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112,92</w:t>
            </w:r>
          </w:p>
        </w:tc>
        <w:tc>
          <w:tcPr>
            <w:tcW w:w="1896" w:type="dxa"/>
          </w:tcPr>
          <w:p w14:paraId="575DD2D4" w14:textId="3227E01B" w:rsidR="00CB2FF5" w:rsidRPr="00F02ABE" w:rsidRDefault="003B7AEF"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18,83</w:t>
            </w:r>
          </w:p>
        </w:tc>
      </w:tr>
      <w:tr w:rsidR="00CB2FF5" w:rsidRPr="00F02ABE" w14:paraId="0501EFB6" w14:textId="77777777" w:rsidTr="00766305">
        <w:tc>
          <w:tcPr>
            <w:tcW w:w="3256" w:type="dxa"/>
          </w:tcPr>
          <w:p w14:paraId="28C3BA9B"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Subtotal Desp. Corrente</w:t>
            </w:r>
          </w:p>
        </w:tc>
        <w:tc>
          <w:tcPr>
            <w:tcW w:w="1716" w:type="dxa"/>
          </w:tcPr>
          <w:p w14:paraId="77DA96B6" w14:textId="215ABA2E" w:rsidR="00CB2FF5" w:rsidRPr="00F02ABE" w:rsidRDefault="0068702C"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641.708.706,00</w:t>
            </w:r>
          </w:p>
        </w:tc>
        <w:tc>
          <w:tcPr>
            <w:tcW w:w="2323" w:type="dxa"/>
          </w:tcPr>
          <w:p w14:paraId="17D4AC1F" w14:textId="201380A4" w:rsidR="00CB2FF5" w:rsidRPr="00F02ABE" w:rsidRDefault="0068702C"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650.870.593,30</w:t>
            </w:r>
          </w:p>
        </w:tc>
        <w:tc>
          <w:tcPr>
            <w:tcW w:w="2009" w:type="dxa"/>
          </w:tcPr>
          <w:p w14:paraId="54DBD93B" w14:textId="068B2528" w:rsidR="00CB2FF5" w:rsidRPr="00F02ABE" w:rsidRDefault="0014648C"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101,43</w:t>
            </w:r>
          </w:p>
        </w:tc>
        <w:tc>
          <w:tcPr>
            <w:tcW w:w="1896" w:type="dxa"/>
          </w:tcPr>
          <w:p w14:paraId="1129A093" w14:textId="731F0891" w:rsidR="00CB2FF5" w:rsidRPr="00EA46FE" w:rsidRDefault="0014648C"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96,79</w:t>
            </w:r>
          </w:p>
        </w:tc>
      </w:tr>
      <w:tr w:rsidR="00766305" w:rsidRPr="00F02ABE" w14:paraId="5645E328" w14:textId="77777777" w:rsidTr="00766305">
        <w:tc>
          <w:tcPr>
            <w:tcW w:w="3256" w:type="dxa"/>
          </w:tcPr>
          <w:p w14:paraId="3655D775" w14:textId="77777777" w:rsidR="00766305" w:rsidRPr="00F02ABE" w:rsidRDefault="00766305" w:rsidP="00766305">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4 – Investimentos</w:t>
            </w:r>
          </w:p>
        </w:tc>
        <w:tc>
          <w:tcPr>
            <w:tcW w:w="1716" w:type="dxa"/>
          </w:tcPr>
          <w:p w14:paraId="16378224" w14:textId="65D9AFC3" w:rsidR="00766305" w:rsidRPr="00766305" w:rsidRDefault="00766305" w:rsidP="00766305">
            <w:pPr>
              <w:autoSpaceDE w:val="0"/>
              <w:autoSpaceDN w:val="0"/>
              <w:adjustRightInd w:val="0"/>
              <w:spacing w:after="0" w:line="240" w:lineRule="auto"/>
              <w:jc w:val="right"/>
              <w:rPr>
                <w:rFonts w:ascii="Times New Roman" w:hAnsi="Times New Roman"/>
                <w:bCs/>
                <w:sz w:val="24"/>
                <w:szCs w:val="24"/>
              </w:rPr>
            </w:pPr>
            <w:r w:rsidRPr="00766305">
              <w:rPr>
                <w:rFonts w:ascii="Times New Roman" w:hAnsi="Times New Roman"/>
                <w:bCs/>
                <w:sz w:val="24"/>
                <w:szCs w:val="24"/>
              </w:rPr>
              <w:t>3.703.249,00</w:t>
            </w:r>
          </w:p>
        </w:tc>
        <w:tc>
          <w:tcPr>
            <w:tcW w:w="2323" w:type="dxa"/>
          </w:tcPr>
          <w:p w14:paraId="6A88625D" w14:textId="6B38C991" w:rsidR="00766305" w:rsidRPr="00766305" w:rsidRDefault="00766305" w:rsidP="00766305">
            <w:pPr>
              <w:autoSpaceDE w:val="0"/>
              <w:autoSpaceDN w:val="0"/>
              <w:adjustRightInd w:val="0"/>
              <w:spacing w:after="0" w:line="240" w:lineRule="auto"/>
              <w:jc w:val="right"/>
              <w:rPr>
                <w:rFonts w:ascii="Times New Roman" w:hAnsi="Times New Roman"/>
                <w:bCs/>
                <w:sz w:val="24"/>
                <w:szCs w:val="24"/>
              </w:rPr>
            </w:pPr>
            <w:r w:rsidRPr="00766305">
              <w:rPr>
                <w:rFonts w:ascii="Times New Roman" w:hAnsi="Times New Roman"/>
                <w:bCs/>
                <w:sz w:val="24"/>
                <w:szCs w:val="24"/>
              </w:rPr>
              <w:t>21.551.371,29</w:t>
            </w:r>
          </w:p>
        </w:tc>
        <w:tc>
          <w:tcPr>
            <w:tcW w:w="2009" w:type="dxa"/>
          </w:tcPr>
          <w:p w14:paraId="0D3267F9" w14:textId="7C99B7EF" w:rsidR="00766305" w:rsidRPr="00766305" w:rsidRDefault="00766305" w:rsidP="00766305">
            <w:pPr>
              <w:autoSpaceDE w:val="0"/>
              <w:autoSpaceDN w:val="0"/>
              <w:adjustRightInd w:val="0"/>
              <w:spacing w:after="0" w:line="240" w:lineRule="auto"/>
              <w:jc w:val="right"/>
              <w:rPr>
                <w:rFonts w:ascii="Times New Roman" w:hAnsi="Times New Roman"/>
                <w:bCs/>
                <w:sz w:val="24"/>
                <w:szCs w:val="24"/>
              </w:rPr>
            </w:pPr>
            <w:r w:rsidRPr="00766305">
              <w:rPr>
                <w:rFonts w:ascii="Times New Roman" w:hAnsi="Times New Roman"/>
                <w:bCs/>
                <w:sz w:val="24"/>
                <w:szCs w:val="24"/>
              </w:rPr>
              <w:t>581,96</w:t>
            </w:r>
          </w:p>
        </w:tc>
        <w:tc>
          <w:tcPr>
            <w:tcW w:w="1896" w:type="dxa"/>
          </w:tcPr>
          <w:p w14:paraId="61CB7B4B" w14:textId="11EF5913" w:rsidR="00766305" w:rsidRPr="00766305" w:rsidRDefault="00766305" w:rsidP="00766305">
            <w:pPr>
              <w:autoSpaceDE w:val="0"/>
              <w:autoSpaceDN w:val="0"/>
              <w:adjustRightInd w:val="0"/>
              <w:spacing w:after="0" w:line="240" w:lineRule="auto"/>
              <w:jc w:val="right"/>
              <w:rPr>
                <w:rFonts w:ascii="Times New Roman" w:hAnsi="Times New Roman"/>
                <w:bCs/>
                <w:sz w:val="24"/>
                <w:szCs w:val="24"/>
              </w:rPr>
            </w:pPr>
            <w:r w:rsidRPr="00766305">
              <w:rPr>
                <w:rFonts w:ascii="Times New Roman" w:hAnsi="Times New Roman"/>
                <w:bCs/>
                <w:sz w:val="24"/>
                <w:szCs w:val="24"/>
              </w:rPr>
              <w:t>3,21</w:t>
            </w:r>
          </w:p>
        </w:tc>
      </w:tr>
      <w:tr w:rsidR="00766305" w:rsidRPr="00F02ABE" w14:paraId="46767C53" w14:textId="77777777" w:rsidTr="00766305">
        <w:tc>
          <w:tcPr>
            <w:tcW w:w="3256" w:type="dxa"/>
          </w:tcPr>
          <w:p w14:paraId="5228597C" w14:textId="77777777" w:rsidR="00766305" w:rsidRPr="00F02ABE" w:rsidRDefault="00766305" w:rsidP="00766305">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5 – Inversões</w:t>
            </w:r>
          </w:p>
        </w:tc>
        <w:tc>
          <w:tcPr>
            <w:tcW w:w="1716" w:type="dxa"/>
          </w:tcPr>
          <w:p w14:paraId="70FDCFB9" w14:textId="11A25A35" w:rsidR="00766305" w:rsidRPr="00F02ABE" w:rsidRDefault="00766305" w:rsidP="0076630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2323" w:type="dxa"/>
          </w:tcPr>
          <w:p w14:paraId="5416D8B4" w14:textId="5EE09C9C" w:rsidR="00766305" w:rsidRPr="00F02ABE" w:rsidRDefault="00654CB9" w:rsidP="0076630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2009" w:type="dxa"/>
          </w:tcPr>
          <w:p w14:paraId="0B844BD5" w14:textId="2D7CD0EF" w:rsidR="00766305" w:rsidRPr="00F02ABE" w:rsidRDefault="00654CB9" w:rsidP="0076630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1896" w:type="dxa"/>
          </w:tcPr>
          <w:p w14:paraId="6D5DE712" w14:textId="77777777" w:rsidR="00766305" w:rsidRPr="00F02ABE" w:rsidRDefault="00766305" w:rsidP="0076630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r>
      <w:tr w:rsidR="00654CB9" w:rsidRPr="00F02ABE" w14:paraId="238E0D90" w14:textId="77777777" w:rsidTr="00766305">
        <w:tc>
          <w:tcPr>
            <w:tcW w:w="3256" w:type="dxa"/>
          </w:tcPr>
          <w:p w14:paraId="4A8C4D73" w14:textId="77777777" w:rsidR="00654CB9" w:rsidRPr="00F02ABE" w:rsidRDefault="00654CB9" w:rsidP="00654CB9">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6 – Amortização</w:t>
            </w:r>
          </w:p>
        </w:tc>
        <w:tc>
          <w:tcPr>
            <w:tcW w:w="1716" w:type="dxa"/>
          </w:tcPr>
          <w:p w14:paraId="038411B1" w14:textId="7BC51DC5" w:rsidR="00654CB9" w:rsidRPr="00F02ABE" w:rsidRDefault="00654CB9" w:rsidP="00654CB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2323" w:type="dxa"/>
          </w:tcPr>
          <w:p w14:paraId="7CA76FC4" w14:textId="54141B95" w:rsidR="00654CB9" w:rsidRPr="00F02ABE" w:rsidRDefault="00654CB9" w:rsidP="00654CB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2009" w:type="dxa"/>
          </w:tcPr>
          <w:p w14:paraId="3E77A272" w14:textId="2272F747" w:rsidR="00654CB9" w:rsidRPr="00F02ABE" w:rsidRDefault="00654CB9" w:rsidP="00654CB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1896" w:type="dxa"/>
          </w:tcPr>
          <w:p w14:paraId="0E9FCD27" w14:textId="1F00D3E8" w:rsidR="00654CB9" w:rsidRPr="00F02ABE" w:rsidRDefault="00654CB9" w:rsidP="00654CB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r>
      <w:tr w:rsidR="00654CB9" w:rsidRPr="00F02ABE" w14:paraId="24D5DEBE" w14:textId="77777777" w:rsidTr="00766305">
        <w:tc>
          <w:tcPr>
            <w:tcW w:w="3256" w:type="dxa"/>
          </w:tcPr>
          <w:p w14:paraId="1BAB103A" w14:textId="77777777" w:rsidR="00654CB9" w:rsidRPr="00F02ABE" w:rsidRDefault="00654CB9" w:rsidP="00654CB9">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Subtotal Desp. Capital</w:t>
            </w:r>
          </w:p>
        </w:tc>
        <w:tc>
          <w:tcPr>
            <w:tcW w:w="1716" w:type="dxa"/>
          </w:tcPr>
          <w:p w14:paraId="0C9A3C6B" w14:textId="491FAE4B" w:rsidR="00654CB9" w:rsidRPr="00F02ABE" w:rsidRDefault="00654CB9" w:rsidP="00654CB9">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3.703.249,00</w:t>
            </w:r>
          </w:p>
        </w:tc>
        <w:tc>
          <w:tcPr>
            <w:tcW w:w="2323" w:type="dxa"/>
          </w:tcPr>
          <w:p w14:paraId="140C82F4" w14:textId="230DCEA3" w:rsidR="00654CB9" w:rsidRPr="00CE4398" w:rsidRDefault="00654CB9" w:rsidP="00654CB9">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21.551.371,29</w:t>
            </w:r>
          </w:p>
        </w:tc>
        <w:tc>
          <w:tcPr>
            <w:tcW w:w="2009" w:type="dxa"/>
          </w:tcPr>
          <w:p w14:paraId="3F089951" w14:textId="1CE463F6" w:rsidR="00654CB9" w:rsidRPr="00CE4398" w:rsidRDefault="00654CB9" w:rsidP="00654CB9">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581,96</w:t>
            </w:r>
          </w:p>
        </w:tc>
        <w:tc>
          <w:tcPr>
            <w:tcW w:w="1896" w:type="dxa"/>
          </w:tcPr>
          <w:p w14:paraId="47EE87A0" w14:textId="2C90CC4A" w:rsidR="00654CB9" w:rsidRPr="00CE4398" w:rsidRDefault="00654CB9" w:rsidP="00654CB9">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3,21</w:t>
            </w:r>
          </w:p>
        </w:tc>
      </w:tr>
      <w:tr w:rsidR="00F26679" w:rsidRPr="00F02ABE" w14:paraId="42F33DE7" w14:textId="77777777" w:rsidTr="00766305">
        <w:tc>
          <w:tcPr>
            <w:tcW w:w="3256" w:type="dxa"/>
          </w:tcPr>
          <w:p w14:paraId="3BCEDBCA" w14:textId="77777777" w:rsidR="00F26679" w:rsidRPr="00F02ABE" w:rsidRDefault="00F26679" w:rsidP="00F26679">
            <w:pPr>
              <w:autoSpaceDE w:val="0"/>
              <w:autoSpaceDN w:val="0"/>
              <w:adjustRightInd w:val="0"/>
              <w:spacing w:after="0" w:line="240" w:lineRule="auto"/>
              <w:jc w:val="both"/>
              <w:rPr>
                <w:rFonts w:ascii="Times New Roman" w:hAnsi="Times New Roman"/>
                <w:sz w:val="24"/>
                <w:szCs w:val="24"/>
              </w:rPr>
            </w:pPr>
            <w:r w:rsidRPr="00F02ABE">
              <w:rPr>
                <w:rFonts w:ascii="Times New Roman" w:hAnsi="Times New Roman"/>
                <w:sz w:val="24"/>
                <w:szCs w:val="24"/>
              </w:rPr>
              <w:t>9 - Reserva Contingência</w:t>
            </w:r>
          </w:p>
        </w:tc>
        <w:tc>
          <w:tcPr>
            <w:tcW w:w="1716" w:type="dxa"/>
          </w:tcPr>
          <w:p w14:paraId="09D2BA24" w14:textId="3604DF63" w:rsidR="00F26679" w:rsidRPr="00F02ABE" w:rsidRDefault="00F26679" w:rsidP="00F2667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2323" w:type="dxa"/>
          </w:tcPr>
          <w:p w14:paraId="743B9DD0" w14:textId="73FAB606" w:rsidR="00F26679" w:rsidRPr="00F02ABE" w:rsidRDefault="00F26679" w:rsidP="00F2667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2009" w:type="dxa"/>
          </w:tcPr>
          <w:p w14:paraId="2E22313F" w14:textId="7425F4F2" w:rsidR="00F26679" w:rsidRPr="00F02ABE" w:rsidRDefault="00F26679" w:rsidP="00F2667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1896" w:type="dxa"/>
          </w:tcPr>
          <w:p w14:paraId="70C7FAF3" w14:textId="0B62024B" w:rsidR="00F26679" w:rsidRPr="00F02ABE" w:rsidRDefault="00F26679" w:rsidP="00F26679">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r>
      <w:tr w:rsidR="00F26679" w:rsidRPr="00F02ABE" w14:paraId="79F5A914" w14:textId="77777777" w:rsidTr="00766305">
        <w:tc>
          <w:tcPr>
            <w:tcW w:w="3256" w:type="dxa"/>
          </w:tcPr>
          <w:p w14:paraId="089AAA0D" w14:textId="77777777" w:rsidR="00F26679" w:rsidRPr="00F02ABE" w:rsidRDefault="00F26679" w:rsidP="00F26679">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TOTAL</w:t>
            </w:r>
          </w:p>
        </w:tc>
        <w:tc>
          <w:tcPr>
            <w:tcW w:w="1716" w:type="dxa"/>
          </w:tcPr>
          <w:p w14:paraId="307A741D" w14:textId="1D2472FE" w:rsidR="00F26679" w:rsidRPr="00F02ABE" w:rsidRDefault="00F26679" w:rsidP="00F26679">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645.411.955,00</w:t>
            </w:r>
          </w:p>
        </w:tc>
        <w:tc>
          <w:tcPr>
            <w:tcW w:w="2323" w:type="dxa"/>
          </w:tcPr>
          <w:p w14:paraId="64C549A2" w14:textId="0191C877" w:rsidR="00F26679" w:rsidRPr="00F02ABE" w:rsidRDefault="00F26679" w:rsidP="00F26679">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672.</w:t>
            </w:r>
            <w:r w:rsidR="0069677E">
              <w:rPr>
                <w:rFonts w:ascii="Times New Roman" w:hAnsi="Times New Roman"/>
                <w:b/>
                <w:sz w:val="24"/>
                <w:szCs w:val="24"/>
              </w:rPr>
              <w:t>421.964,59</w:t>
            </w:r>
          </w:p>
        </w:tc>
        <w:tc>
          <w:tcPr>
            <w:tcW w:w="2009" w:type="dxa"/>
          </w:tcPr>
          <w:p w14:paraId="7FA6C887" w14:textId="46F16AB4" w:rsidR="00F26679" w:rsidRPr="00F02ABE" w:rsidRDefault="0069677E" w:rsidP="00F26679">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104,18</w:t>
            </w:r>
          </w:p>
        </w:tc>
        <w:tc>
          <w:tcPr>
            <w:tcW w:w="1896" w:type="dxa"/>
          </w:tcPr>
          <w:p w14:paraId="3C67ECD6" w14:textId="77777777" w:rsidR="00F26679" w:rsidRPr="00F02ABE" w:rsidRDefault="00F26679" w:rsidP="00F26679">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100</w:t>
            </w:r>
          </w:p>
        </w:tc>
      </w:tr>
    </w:tbl>
    <w:p w14:paraId="60644E36" w14:textId="77777777" w:rsidR="00CB2FF5" w:rsidRPr="00E222A8" w:rsidRDefault="00CB2FF5" w:rsidP="00CB2FF5">
      <w:pPr>
        <w:autoSpaceDE w:val="0"/>
        <w:autoSpaceDN w:val="0"/>
        <w:adjustRightInd w:val="0"/>
        <w:spacing w:after="0" w:line="240" w:lineRule="auto"/>
        <w:ind w:left="1701"/>
        <w:jc w:val="both"/>
        <w:rPr>
          <w:rFonts w:ascii="Times New Roman" w:hAnsi="Times New Roman"/>
          <w:sz w:val="20"/>
          <w:szCs w:val="20"/>
        </w:rPr>
      </w:pPr>
      <w:r w:rsidRPr="00E222A8">
        <w:rPr>
          <w:rFonts w:ascii="Times New Roman" w:hAnsi="Times New Roman"/>
          <w:sz w:val="20"/>
          <w:szCs w:val="20"/>
        </w:rPr>
        <w:t>Fonte: Tesouro Gerencial e SIAFI Web, 2024.</w:t>
      </w:r>
    </w:p>
    <w:p w14:paraId="031967D4"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rPr>
      </w:pPr>
    </w:p>
    <w:p w14:paraId="00B0ED50" w14:textId="77777777" w:rsidR="00CB2FF5" w:rsidRDefault="00CB2FF5" w:rsidP="00CB2FF5">
      <w:pPr>
        <w:autoSpaceDE w:val="0"/>
        <w:autoSpaceDN w:val="0"/>
        <w:adjustRightInd w:val="0"/>
        <w:spacing w:after="0" w:line="240" w:lineRule="auto"/>
        <w:ind w:left="1701"/>
        <w:jc w:val="both"/>
        <w:rPr>
          <w:rFonts w:ascii="Times New Roman" w:hAnsi="Times New Roman"/>
          <w:b/>
          <w:sz w:val="24"/>
          <w:szCs w:val="24"/>
          <w:lang w:eastAsia="pt-BR"/>
        </w:rPr>
      </w:pPr>
      <w:r w:rsidRPr="00F02ABE">
        <w:rPr>
          <w:rFonts w:ascii="Times New Roman" w:hAnsi="Times New Roman"/>
          <w:b/>
          <w:sz w:val="24"/>
          <w:szCs w:val="24"/>
          <w:lang w:eastAsia="pt-BR"/>
        </w:rPr>
        <w:t>6 – Restos a Pagar</w:t>
      </w:r>
    </w:p>
    <w:p w14:paraId="1E8CB982"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lang w:eastAsia="pt-BR"/>
        </w:rPr>
      </w:pPr>
    </w:p>
    <w:p w14:paraId="17B5777B"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Conforme disposto no art. 67 do Decreto nº 93.872/1986, os RPNP referem-se às despesas que, embora empenhadas no exercício corrente, não foram liquidadas (executadas) até 31 dezembro em decorrência da não conclusão da entrega dos bens e/ou da prestação dos serviços contratados, como também da aferição ou entrega de obras no exercício.</w:t>
      </w:r>
    </w:p>
    <w:p w14:paraId="27B5666A"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lastRenderedPageBreak/>
        <w:t>Para elaboração desta nota explicativa, considerou-se os Restos a Pagar Não Processados – RPNP apresentados no Balanço Orçamentário que abrange o órgão IFPI vinculado ao ministério com o orçamento consignado na LOA, computando-se também o orçamento (créditos orçamentários) recebidos pelo IFPI de outros órgãos para execução de programas governamentais.</w:t>
      </w:r>
    </w:p>
    <w:p w14:paraId="7526BF9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A inscrição dos empenhos nessa rubrica é feita pela STN em 31 de dezembro de cada exercício financeiro com base na execução orçamentária do exercício (despesas empenhadas e não liquidadas), acrescido dos RPNP transpostos inscritos em exercícios anteriores (reinscrição).</w:t>
      </w:r>
    </w:p>
    <w:p w14:paraId="6A910C8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O saldo dos RPNP inscritos e reinscritos vai se reduzindo à medida em que são processados/liquidados, ficando pendente o último estágio da despesa pública que é o pagamento. Por sua vez, a Lei nº 4.320/1964 considera como executada a “despesa empenhada” ao dispor no seu art. 35 que pertencem ao exercício financeiro as despesas nele legalmente empenhadas.</w:t>
      </w:r>
    </w:p>
    <w:p w14:paraId="599BC68E" w14:textId="05A116F3" w:rsidR="00CB2FF5" w:rsidRPr="00F02ABE" w:rsidRDefault="00CB2FF5" w:rsidP="00CB2FF5">
      <w:pPr>
        <w:ind w:left="1701"/>
        <w:jc w:val="both"/>
        <w:rPr>
          <w:rFonts w:ascii="Times New Roman" w:hAnsi="Times New Roman"/>
          <w:sz w:val="24"/>
          <w:szCs w:val="24"/>
        </w:rPr>
      </w:pPr>
      <w:r w:rsidRPr="00F02ABE">
        <w:rPr>
          <w:rFonts w:ascii="Times New Roman" w:hAnsi="Times New Roman"/>
          <w:sz w:val="24"/>
          <w:szCs w:val="24"/>
        </w:rPr>
        <w:t xml:space="preserve">O valor total de </w:t>
      </w:r>
      <w:r w:rsidRPr="00F02ABE">
        <w:rPr>
          <w:rFonts w:ascii="Times New Roman" w:hAnsi="Times New Roman"/>
          <w:b/>
          <w:bCs/>
          <w:sz w:val="24"/>
          <w:szCs w:val="24"/>
        </w:rPr>
        <w:t>Restos a Pagar não Processados a Liquidar</w:t>
      </w:r>
      <w:r w:rsidRPr="00F02ABE">
        <w:rPr>
          <w:rFonts w:ascii="Times New Roman" w:hAnsi="Times New Roman"/>
          <w:sz w:val="24"/>
          <w:szCs w:val="24"/>
        </w:rPr>
        <w:t xml:space="preserve"> no início do exercício financeiro era de: R$ </w:t>
      </w:r>
      <w:r>
        <w:rPr>
          <w:rFonts w:ascii="Times New Roman" w:hAnsi="Times New Roman"/>
          <w:sz w:val="24"/>
          <w:szCs w:val="24"/>
        </w:rPr>
        <w:t>34.249.151,69</w:t>
      </w:r>
      <w:r w:rsidRPr="00F02ABE">
        <w:rPr>
          <w:rFonts w:ascii="Times New Roman" w:hAnsi="Times New Roman"/>
          <w:sz w:val="24"/>
          <w:szCs w:val="24"/>
        </w:rPr>
        <w:t xml:space="preserve">, sendo que foram liquidados R$ </w:t>
      </w:r>
      <w:r>
        <w:rPr>
          <w:rFonts w:ascii="Times New Roman" w:hAnsi="Times New Roman"/>
          <w:sz w:val="24"/>
          <w:szCs w:val="24"/>
        </w:rPr>
        <w:t>2</w:t>
      </w:r>
      <w:r w:rsidR="0086366E">
        <w:rPr>
          <w:rFonts w:ascii="Times New Roman" w:hAnsi="Times New Roman"/>
          <w:sz w:val="24"/>
          <w:szCs w:val="24"/>
        </w:rPr>
        <w:t>8.</w:t>
      </w:r>
      <w:r w:rsidR="001C4562">
        <w:rPr>
          <w:rFonts w:ascii="Times New Roman" w:hAnsi="Times New Roman"/>
          <w:sz w:val="24"/>
          <w:szCs w:val="24"/>
        </w:rPr>
        <w:t>333.278,23</w:t>
      </w:r>
      <w:r w:rsidR="00000189">
        <w:rPr>
          <w:rFonts w:ascii="Times New Roman" w:hAnsi="Times New Roman"/>
          <w:sz w:val="24"/>
          <w:szCs w:val="24"/>
        </w:rPr>
        <w:t>;</w:t>
      </w:r>
      <w:r w:rsidRPr="00F02ABE">
        <w:rPr>
          <w:rFonts w:ascii="Times New Roman" w:hAnsi="Times New Roman"/>
          <w:sz w:val="24"/>
          <w:szCs w:val="24"/>
        </w:rPr>
        <w:t xml:space="preserve"> foram pagos R$ </w:t>
      </w:r>
      <w:r>
        <w:rPr>
          <w:rFonts w:ascii="Times New Roman" w:hAnsi="Times New Roman"/>
          <w:sz w:val="24"/>
          <w:szCs w:val="24"/>
        </w:rPr>
        <w:t>2</w:t>
      </w:r>
      <w:r w:rsidR="001C4562">
        <w:rPr>
          <w:rFonts w:ascii="Times New Roman" w:hAnsi="Times New Roman"/>
          <w:sz w:val="24"/>
          <w:szCs w:val="24"/>
        </w:rPr>
        <w:t>8.</w:t>
      </w:r>
      <w:r w:rsidR="000C2C71">
        <w:rPr>
          <w:rFonts w:ascii="Times New Roman" w:hAnsi="Times New Roman"/>
          <w:sz w:val="24"/>
          <w:szCs w:val="24"/>
        </w:rPr>
        <w:t>310.198,75</w:t>
      </w:r>
      <w:r w:rsidRPr="00F02ABE">
        <w:rPr>
          <w:rFonts w:ascii="Times New Roman" w:hAnsi="Times New Roman"/>
          <w:sz w:val="24"/>
          <w:szCs w:val="24"/>
        </w:rPr>
        <w:t xml:space="preserve">; houveram cancelamentos no valor de R$ </w:t>
      </w:r>
      <w:r w:rsidR="000C2C71">
        <w:rPr>
          <w:rFonts w:ascii="Times New Roman" w:hAnsi="Times New Roman"/>
          <w:sz w:val="24"/>
          <w:szCs w:val="24"/>
        </w:rPr>
        <w:t>2.</w:t>
      </w:r>
      <w:r w:rsidR="00352187">
        <w:rPr>
          <w:rFonts w:ascii="Times New Roman" w:hAnsi="Times New Roman"/>
          <w:sz w:val="24"/>
          <w:szCs w:val="24"/>
        </w:rPr>
        <w:t>774.088,54</w:t>
      </w:r>
      <w:r w:rsidRPr="00F02ABE">
        <w:rPr>
          <w:rFonts w:ascii="Times New Roman" w:hAnsi="Times New Roman"/>
          <w:sz w:val="24"/>
          <w:szCs w:val="24"/>
        </w:rPr>
        <w:t xml:space="preserve"> e o saldo remanescente totaliza R$ </w:t>
      </w:r>
      <w:r w:rsidR="00352187">
        <w:rPr>
          <w:rFonts w:ascii="Times New Roman" w:hAnsi="Times New Roman"/>
          <w:sz w:val="24"/>
          <w:szCs w:val="24"/>
        </w:rPr>
        <w:t>3.</w:t>
      </w:r>
      <w:r w:rsidR="002E4872">
        <w:rPr>
          <w:rFonts w:ascii="Times New Roman" w:hAnsi="Times New Roman"/>
          <w:sz w:val="24"/>
          <w:szCs w:val="24"/>
        </w:rPr>
        <w:t>164.864,40</w:t>
      </w:r>
      <w:r>
        <w:rPr>
          <w:rFonts w:ascii="Times New Roman" w:hAnsi="Times New Roman"/>
          <w:sz w:val="24"/>
          <w:szCs w:val="24"/>
        </w:rPr>
        <w:t>.</w:t>
      </w:r>
    </w:p>
    <w:p w14:paraId="481D120C" w14:textId="12ABD4D3"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Quanto à execução dos </w:t>
      </w:r>
      <w:r w:rsidRPr="00F02ABE">
        <w:rPr>
          <w:rFonts w:ascii="Times New Roman" w:hAnsi="Times New Roman"/>
          <w:b/>
          <w:bCs/>
          <w:sz w:val="24"/>
          <w:szCs w:val="24"/>
          <w:lang w:eastAsia="pt-BR"/>
        </w:rPr>
        <w:t>Restos a Pagar Processados e Não Processados Liquidados</w:t>
      </w:r>
      <w:r w:rsidRPr="00F02ABE">
        <w:rPr>
          <w:rFonts w:ascii="Times New Roman" w:hAnsi="Times New Roman"/>
          <w:sz w:val="24"/>
          <w:szCs w:val="24"/>
          <w:lang w:eastAsia="pt-BR"/>
        </w:rPr>
        <w:t>, o valor total no início do exercício financeiro de 202</w:t>
      </w:r>
      <w:r>
        <w:rPr>
          <w:rFonts w:ascii="Times New Roman" w:hAnsi="Times New Roman"/>
          <w:sz w:val="24"/>
          <w:szCs w:val="24"/>
          <w:lang w:eastAsia="pt-BR"/>
        </w:rPr>
        <w:t>4</w:t>
      </w:r>
      <w:r w:rsidRPr="00F02ABE">
        <w:rPr>
          <w:rFonts w:ascii="Times New Roman" w:hAnsi="Times New Roman"/>
          <w:sz w:val="24"/>
          <w:szCs w:val="24"/>
          <w:lang w:eastAsia="pt-BR"/>
        </w:rPr>
        <w:t xml:space="preserve"> era de R$ </w:t>
      </w:r>
      <w:r>
        <w:rPr>
          <w:rFonts w:ascii="Times New Roman" w:hAnsi="Times New Roman"/>
          <w:sz w:val="24"/>
          <w:szCs w:val="24"/>
          <w:lang w:eastAsia="pt-BR"/>
        </w:rPr>
        <w:t>60.843.192,27</w:t>
      </w:r>
      <w:r w:rsidRPr="00F02ABE">
        <w:rPr>
          <w:rFonts w:ascii="Times New Roman" w:hAnsi="Times New Roman"/>
          <w:sz w:val="24"/>
          <w:szCs w:val="24"/>
          <w:lang w:eastAsia="pt-BR"/>
        </w:rPr>
        <w:t xml:space="preserve">, sendo que R$ </w:t>
      </w:r>
      <w:r>
        <w:rPr>
          <w:rFonts w:ascii="Times New Roman" w:hAnsi="Times New Roman"/>
          <w:sz w:val="24"/>
          <w:szCs w:val="24"/>
          <w:lang w:eastAsia="pt-BR"/>
        </w:rPr>
        <w:t>60.51</w:t>
      </w:r>
      <w:r w:rsidR="001C385A">
        <w:rPr>
          <w:rFonts w:ascii="Times New Roman" w:hAnsi="Times New Roman"/>
          <w:sz w:val="24"/>
          <w:szCs w:val="24"/>
          <w:lang w:eastAsia="pt-BR"/>
        </w:rPr>
        <w:t>4.076,28</w:t>
      </w:r>
      <w:r w:rsidRPr="00F02ABE">
        <w:rPr>
          <w:rFonts w:ascii="Times New Roman" w:hAnsi="Times New Roman"/>
          <w:sz w:val="24"/>
          <w:szCs w:val="24"/>
          <w:lang w:eastAsia="pt-BR"/>
        </w:rPr>
        <w:t xml:space="preserve"> foram pagos; os cancelados totalizaram R$ </w:t>
      </w:r>
      <w:r>
        <w:rPr>
          <w:rFonts w:ascii="Times New Roman" w:hAnsi="Times New Roman"/>
          <w:sz w:val="24"/>
          <w:szCs w:val="24"/>
          <w:lang w:eastAsia="pt-BR"/>
        </w:rPr>
        <w:t>165.707,14</w:t>
      </w:r>
      <w:r w:rsidRPr="00F02ABE">
        <w:rPr>
          <w:rFonts w:ascii="Times New Roman" w:hAnsi="Times New Roman"/>
          <w:sz w:val="24"/>
          <w:szCs w:val="24"/>
          <w:lang w:eastAsia="pt-BR"/>
        </w:rPr>
        <w:t xml:space="preserve"> e o saldo que permanece liquidado é de R$ </w:t>
      </w:r>
      <w:r>
        <w:rPr>
          <w:rFonts w:ascii="Times New Roman" w:hAnsi="Times New Roman"/>
          <w:sz w:val="24"/>
          <w:szCs w:val="24"/>
          <w:lang w:eastAsia="pt-BR"/>
        </w:rPr>
        <w:t>163.</w:t>
      </w:r>
      <w:r w:rsidR="00C712D6">
        <w:rPr>
          <w:rFonts w:ascii="Times New Roman" w:hAnsi="Times New Roman"/>
          <w:sz w:val="24"/>
          <w:szCs w:val="24"/>
          <w:lang w:eastAsia="pt-BR"/>
        </w:rPr>
        <w:t>408,85</w:t>
      </w:r>
      <w:r>
        <w:rPr>
          <w:rFonts w:ascii="Times New Roman" w:hAnsi="Times New Roman"/>
          <w:sz w:val="24"/>
          <w:szCs w:val="24"/>
          <w:lang w:eastAsia="pt-BR"/>
        </w:rPr>
        <w:t>.</w:t>
      </w:r>
    </w:p>
    <w:p w14:paraId="65106347" w14:textId="77777777" w:rsidR="00DC7FAD" w:rsidRPr="00F02ABE" w:rsidRDefault="00DC7FAD" w:rsidP="00CB2FF5">
      <w:pPr>
        <w:autoSpaceDE w:val="0"/>
        <w:autoSpaceDN w:val="0"/>
        <w:adjustRightInd w:val="0"/>
        <w:spacing w:after="0" w:line="240" w:lineRule="auto"/>
        <w:ind w:left="1701"/>
        <w:jc w:val="both"/>
        <w:rPr>
          <w:rFonts w:ascii="Times New Roman" w:hAnsi="Times New Roman"/>
          <w:sz w:val="24"/>
          <w:szCs w:val="24"/>
          <w:lang w:eastAsia="pt-BR"/>
        </w:rPr>
      </w:pPr>
    </w:p>
    <w:p w14:paraId="1E4A35BF" w14:textId="77777777" w:rsidR="00CB2FF5" w:rsidRPr="00F02ABE" w:rsidRDefault="00CB2FF5" w:rsidP="00CB2FF5">
      <w:pPr>
        <w:autoSpaceDE w:val="0"/>
        <w:autoSpaceDN w:val="0"/>
        <w:adjustRightInd w:val="0"/>
        <w:spacing w:after="0" w:line="240" w:lineRule="auto"/>
        <w:ind w:left="1701"/>
        <w:rPr>
          <w:rFonts w:ascii="Times New Roman" w:hAnsi="Times New Roman"/>
          <w:b/>
          <w:color w:val="000000"/>
          <w:sz w:val="24"/>
          <w:szCs w:val="24"/>
          <w:lang w:eastAsia="pt-BR"/>
        </w:rPr>
      </w:pPr>
    </w:p>
    <w:p w14:paraId="1FFC9CA2" w14:textId="77777777" w:rsidR="00CB2FF5" w:rsidRPr="00F02ABE" w:rsidRDefault="00CB2FF5" w:rsidP="00CB2FF5">
      <w:pPr>
        <w:autoSpaceDE w:val="0"/>
        <w:autoSpaceDN w:val="0"/>
        <w:adjustRightInd w:val="0"/>
        <w:spacing w:after="0" w:line="240" w:lineRule="auto"/>
        <w:ind w:left="1701"/>
        <w:rPr>
          <w:rFonts w:ascii="Times New Roman" w:hAnsi="Times New Roman"/>
          <w:b/>
          <w:bCs/>
          <w:sz w:val="24"/>
          <w:szCs w:val="24"/>
          <w:lang w:eastAsia="pt-BR"/>
        </w:rPr>
      </w:pPr>
      <w:r w:rsidRPr="00F02ABE">
        <w:rPr>
          <w:rFonts w:ascii="Times New Roman" w:hAnsi="Times New Roman"/>
          <w:b/>
          <w:color w:val="000000"/>
          <w:sz w:val="24"/>
          <w:szCs w:val="24"/>
          <w:lang w:eastAsia="pt-BR"/>
        </w:rPr>
        <w:t>7</w:t>
      </w:r>
      <w:r w:rsidRPr="00F02ABE">
        <w:rPr>
          <w:rFonts w:ascii="Times New Roman" w:hAnsi="Times New Roman"/>
          <w:color w:val="000000"/>
          <w:sz w:val="24"/>
          <w:szCs w:val="24"/>
          <w:lang w:eastAsia="pt-BR"/>
        </w:rPr>
        <w:t xml:space="preserve"> - </w:t>
      </w:r>
      <w:r w:rsidRPr="00F02ABE">
        <w:rPr>
          <w:rFonts w:ascii="Times New Roman" w:hAnsi="Times New Roman"/>
          <w:b/>
          <w:bCs/>
          <w:sz w:val="24"/>
          <w:szCs w:val="24"/>
          <w:lang w:eastAsia="pt-BR"/>
        </w:rPr>
        <w:t>NOTAS EXPLICATIVAS AO BALANÇO PATRIMONIAL – BP</w:t>
      </w:r>
    </w:p>
    <w:p w14:paraId="3911A7D4" w14:textId="77777777" w:rsidR="00CB2FF5" w:rsidRPr="00F02ABE" w:rsidRDefault="00CB2FF5" w:rsidP="00CB2FF5">
      <w:pPr>
        <w:autoSpaceDE w:val="0"/>
        <w:autoSpaceDN w:val="0"/>
        <w:adjustRightInd w:val="0"/>
        <w:spacing w:after="0" w:line="240" w:lineRule="auto"/>
        <w:ind w:left="1701"/>
        <w:rPr>
          <w:rFonts w:ascii="Times New Roman" w:hAnsi="Times New Roman"/>
          <w:b/>
          <w:bCs/>
          <w:sz w:val="24"/>
          <w:szCs w:val="24"/>
          <w:lang w:eastAsia="pt-BR"/>
        </w:rPr>
      </w:pPr>
    </w:p>
    <w:p w14:paraId="75603399" w14:textId="77777777" w:rsidR="00CB2FF5" w:rsidRPr="00F02ABE" w:rsidRDefault="00CB2FF5" w:rsidP="00CB2FF5">
      <w:pPr>
        <w:autoSpaceDE w:val="0"/>
        <w:autoSpaceDN w:val="0"/>
        <w:adjustRightInd w:val="0"/>
        <w:spacing w:after="0" w:line="240" w:lineRule="auto"/>
        <w:ind w:left="1701"/>
        <w:rPr>
          <w:rFonts w:ascii="Times New Roman" w:hAnsi="Times New Roman"/>
          <w:sz w:val="24"/>
          <w:szCs w:val="24"/>
          <w:lang w:eastAsia="pt-BR"/>
        </w:rPr>
      </w:pPr>
      <w:r w:rsidRPr="00F02ABE">
        <w:rPr>
          <w:rFonts w:ascii="Times New Roman" w:hAnsi="Times New Roman"/>
          <w:sz w:val="24"/>
          <w:szCs w:val="24"/>
          <w:lang w:eastAsia="pt-BR"/>
        </w:rPr>
        <w:t>A seguir, são apresentadas algumas variações verificadas no demonstrativo.</w:t>
      </w:r>
    </w:p>
    <w:p w14:paraId="06A86EA5" w14:textId="77777777" w:rsidR="00CB2FF5" w:rsidRPr="00F02ABE" w:rsidRDefault="00CB2FF5" w:rsidP="00CB2FF5">
      <w:pPr>
        <w:autoSpaceDE w:val="0"/>
        <w:autoSpaceDN w:val="0"/>
        <w:adjustRightInd w:val="0"/>
        <w:spacing w:after="0" w:line="240" w:lineRule="auto"/>
        <w:ind w:left="1701"/>
        <w:rPr>
          <w:rFonts w:ascii="Times New Roman" w:hAnsi="Times New Roman"/>
          <w:sz w:val="24"/>
          <w:szCs w:val="24"/>
          <w:lang w:eastAsia="pt-BR"/>
        </w:rPr>
      </w:pPr>
    </w:p>
    <w:p w14:paraId="06A95F60" w14:textId="77777777" w:rsidR="00CB2FF5" w:rsidRPr="00F02ABE" w:rsidRDefault="00CB2FF5" w:rsidP="00CB2FF5">
      <w:pPr>
        <w:numPr>
          <w:ilvl w:val="1"/>
          <w:numId w:val="6"/>
        </w:numPr>
        <w:autoSpaceDE w:val="0"/>
        <w:autoSpaceDN w:val="0"/>
        <w:adjustRightInd w:val="0"/>
        <w:spacing w:after="0" w:line="240" w:lineRule="auto"/>
        <w:rPr>
          <w:rFonts w:ascii="Times New Roman" w:hAnsi="Times New Roman"/>
          <w:b/>
          <w:bCs/>
          <w:sz w:val="24"/>
          <w:szCs w:val="24"/>
          <w:lang w:eastAsia="pt-BR"/>
        </w:rPr>
      </w:pPr>
      <w:r w:rsidRPr="00F02ABE">
        <w:rPr>
          <w:rFonts w:ascii="Times New Roman" w:hAnsi="Times New Roman"/>
          <w:b/>
          <w:bCs/>
          <w:sz w:val="24"/>
          <w:szCs w:val="24"/>
          <w:lang w:eastAsia="pt-BR"/>
        </w:rPr>
        <w:t>Ativo Circulante</w:t>
      </w:r>
    </w:p>
    <w:p w14:paraId="2ABC9887" w14:textId="77777777" w:rsidR="00CB2FF5" w:rsidRPr="00F02ABE" w:rsidRDefault="00CB2FF5" w:rsidP="00CB2FF5">
      <w:pPr>
        <w:autoSpaceDE w:val="0"/>
        <w:autoSpaceDN w:val="0"/>
        <w:adjustRightInd w:val="0"/>
        <w:spacing w:after="0" w:line="240" w:lineRule="auto"/>
        <w:ind w:left="2121"/>
        <w:rPr>
          <w:rFonts w:ascii="Times New Roman" w:hAnsi="Times New Roman"/>
          <w:b/>
          <w:bCs/>
          <w:sz w:val="24"/>
          <w:szCs w:val="24"/>
          <w:lang w:eastAsia="pt-BR"/>
        </w:rPr>
      </w:pPr>
    </w:p>
    <w:p w14:paraId="203444CB" w14:textId="3A8EF2C1"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rPr>
      </w:pPr>
      <w:r w:rsidRPr="00F02ABE">
        <w:rPr>
          <w:rFonts w:ascii="Times New Roman" w:hAnsi="Times New Roman"/>
          <w:sz w:val="24"/>
          <w:szCs w:val="24"/>
          <w:lang w:eastAsia="pt-BR"/>
        </w:rPr>
        <w:t xml:space="preserve">No grupo do Ativo Circulante houve um </w:t>
      </w:r>
      <w:r w:rsidR="006E5E47">
        <w:rPr>
          <w:rFonts w:ascii="Times New Roman" w:hAnsi="Times New Roman"/>
          <w:sz w:val="24"/>
          <w:szCs w:val="24"/>
          <w:lang w:eastAsia="pt-BR"/>
        </w:rPr>
        <w:t>a</w:t>
      </w:r>
      <w:r w:rsidRPr="00F02ABE">
        <w:rPr>
          <w:rFonts w:ascii="Times New Roman" w:hAnsi="Times New Roman"/>
          <w:sz w:val="24"/>
          <w:szCs w:val="24"/>
          <w:lang w:eastAsia="pt-BR"/>
        </w:rPr>
        <w:t xml:space="preserve">créscimo de </w:t>
      </w:r>
      <w:r w:rsidR="006E5E47">
        <w:rPr>
          <w:rFonts w:ascii="Times New Roman" w:hAnsi="Times New Roman"/>
          <w:sz w:val="24"/>
          <w:szCs w:val="24"/>
          <w:lang w:eastAsia="pt-BR"/>
        </w:rPr>
        <w:t>3,22</w:t>
      </w:r>
      <w:r w:rsidRPr="00F02ABE">
        <w:rPr>
          <w:rFonts w:ascii="Times New Roman" w:hAnsi="Times New Roman"/>
          <w:sz w:val="24"/>
          <w:szCs w:val="24"/>
          <w:lang w:eastAsia="pt-BR"/>
        </w:rPr>
        <w:t xml:space="preserve">% em relação ao final do exercício anterior, e o mesmo corresponde a </w:t>
      </w:r>
      <w:r>
        <w:rPr>
          <w:rFonts w:ascii="Times New Roman" w:hAnsi="Times New Roman"/>
          <w:sz w:val="24"/>
          <w:szCs w:val="24"/>
          <w:lang w:eastAsia="pt-BR"/>
        </w:rPr>
        <w:t>1</w:t>
      </w:r>
      <w:r w:rsidR="006E5E47">
        <w:rPr>
          <w:rFonts w:ascii="Times New Roman" w:hAnsi="Times New Roman"/>
          <w:sz w:val="24"/>
          <w:szCs w:val="24"/>
          <w:lang w:eastAsia="pt-BR"/>
        </w:rPr>
        <w:t>4,29</w:t>
      </w:r>
      <w:r w:rsidRPr="00F02ABE">
        <w:rPr>
          <w:rFonts w:ascii="Times New Roman" w:hAnsi="Times New Roman"/>
          <w:sz w:val="24"/>
          <w:szCs w:val="24"/>
          <w:lang w:eastAsia="pt-BR"/>
        </w:rPr>
        <w:t xml:space="preserve">% do total do Ativo. A conta Caixa e Equivalentes de Caixa, que possui o valor mais significativo, R$ </w:t>
      </w:r>
      <w:r w:rsidR="006E7506">
        <w:rPr>
          <w:rFonts w:ascii="Times New Roman" w:hAnsi="Times New Roman"/>
          <w:sz w:val="24"/>
          <w:szCs w:val="24"/>
          <w:lang w:eastAsia="pt-BR"/>
        </w:rPr>
        <w:t>47.952.235,64</w:t>
      </w:r>
      <w:r w:rsidRPr="00F02ABE">
        <w:rPr>
          <w:rFonts w:ascii="Times New Roman" w:hAnsi="Times New Roman"/>
          <w:sz w:val="24"/>
          <w:szCs w:val="24"/>
          <w:lang w:eastAsia="pt-BR"/>
        </w:rPr>
        <w:t xml:space="preserve">, </w:t>
      </w:r>
      <w:r w:rsidR="00644767">
        <w:rPr>
          <w:rFonts w:ascii="Times New Roman" w:hAnsi="Times New Roman"/>
          <w:sz w:val="24"/>
          <w:szCs w:val="24"/>
          <w:lang w:eastAsia="pt-BR"/>
        </w:rPr>
        <w:lastRenderedPageBreak/>
        <w:t>aumentou</w:t>
      </w:r>
      <w:r>
        <w:rPr>
          <w:rFonts w:ascii="Times New Roman" w:hAnsi="Times New Roman"/>
          <w:sz w:val="24"/>
          <w:szCs w:val="24"/>
          <w:lang w:eastAsia="pt-BR"/>
        </w:rPr>
        <w:t xml:space="preserve"> </w:t>
      </w:r>
      <w:r w:rsidRPr="00F02ABE">
        <w:rPr>
          <w:rFonts w:ascii="Times New Roman" w:hAnsi="Times New Roman"/>
          <w:sz w:val="24"/>
          <w:szCs w:val="24"/>
          <w:lang w:eastAsia="pt-BR"/>
        </w:rPr>
        <w:t xml:space="preserve">cerca de </w:t>
      </w:r>
      <w:r w:rsidR="00644767">
        <w:rPr>
          <w:rFonts w:ascii="Times New Roman" w:hAnsi="Times New Roman"/>
          <w:sz w:val="24"/>
          <w:szCs w:val="24"/>
          <w:lang w:eastAsia="pt-BR"/>
        </w:rPr>
        <w:t>0,92</w:t>
      </w:r>
      <w:r w:rsidRPr="00F02ABE">
        <w:rPr>
          <w:rFonts w:ascii="Times New Roman" w:hAnsi="Times New Roman"/>
          <w:sz w:val="24"/>
          <w:szCs w:val="24"/>
          <w:lang w:eastAsia="pt-BR"/>
        </w:rPr>
        <w:t>% em relação ao último trimestre de 202</w:t>
      </w:r>
      <w:r>
        <w:rPr>
          <w:rFonts w:ascii="Times New Roman" w:hAnsi="Times New Roman"/>
          <w:sz w:val="24"/>
          <w:szCs w:val="24"/>
          <w:lang w:eastAsia="pt-BR"/>
        </w:rPr>
        <w:t>3</w:t>
      </w:r>
      <w:r w:rsidRPr="00F02ABE">
        <w:rPr>
          <w:rFonts w:ascii="Times New Roman" w:hAnsi="Times New Roman"/>
          <w:sz w:val="24"/>
          <w:szCs w:val="24"/>
          <w:lang w:eastAsia="pt-BR"/>
        </w:rPr>
        <w:t xml:space="preserve">; sendo que a mesma corresponde a </w:t>
      </w:r>
      <w:r w:rsidR="008071B7">
        <w:rPr>
          <w:rFonts w:ascii="Times New Roman" w:hAnsi="Times New Roman"/>
          <w:sz w:val="24"/>
          <w:szCs w:val="24"/>
          <w:lang w:eastAsia="pt-BR"/>
        </w:rPr>
        <w:t>11,97</w:t>
      </w:r>
      <w:r w:rsidRPr="00F02ABE">
        <w:rPr>
          <w:rFonts w:ascii="Times New Roman" w:hAnsi="Times New Roman"/>
          <w:sz w:val="24"/>
          <w:szCs w:val="24"/>
          <w:lang w:eastAsia="pt-BR"/>
        </w:rPr>
        <w:t xml:space="preserve">% do total do Ativo. A conta de Estoque aumentou </w:t>
      </w:r>
      <w:r w:rsidR="00910E66">
        <w:rPr>
          <w:rFonts w:ascii="Times New Roman" w:hAnsi="Times New Roman"/>
          <w:sz w:val="24"/>
          <w:szCs w:val="24"/>
          <w:lang w:eastAsia="pt-BR"/>
        </w:rPr>
        <w:t>19,19</w:t>
      </w:r>
      <w:r w:rsidRPr="00F02ABE">
        <w:rPr>
          <w:rFonts w:ascii="Times New Roman" w:hAnsi="Times New Roman"/>
          <w:sz w:val="24"/>
          <w:szCs w:val="24"/>
          <w:lang w:eastAsia="pt-BR"/>
        </w:rPr>
        <w:t xml:space="preserve">%, e esta corresponde com </w:t>
      </w:r>
      <w:r w:rsidR="00910E66">
        <w:rPr>
          <w:rFonts w:ascii="Times New Roman" w:hAnsi="Times New Roman"/>
          <w:sz w:val="24"/>
          <w:szCs w:val="24"/>
          <w:lang w:eastAsia="pt-BR"/>
        </w:rPr>
        <w:t>1,79</w:t>
      </w:r>
      <w:r w:rsidRPr="00F02ABE">
        <w:rPr>
          <w:rFonts w:ascii="Times New Roman" w:hAnsi="Times New Roman"/>
          <w:sz w:val="24"/>
          <w:szCs w:val="24"/>
          <w:lang w:eastAsia="pt-BR"/>
        </w:rPr>
        <w:t xml:space="preserve">% do total do Ativo. </w:t>
      </w:r>
    </w:p>
    <w:p w14:paraId="103FD9BE" w14:textId="77777777" w:rsidR="00CB2FF5" w:rsidRPr="00F02ABE" w:rsidRDefault="00CB2FF5" w:rsidP="00CB2FF5">
      <w:pPr>
        <w:spacing w:after="0" w:line="240" w:lineRule="auto"/>
        <w:ind w:left="1701"/>
        <w:jc w:val="both"/>
        <w:rPr>
          <w:rFonts w:ascii="Times New Roman" w:hAnsi="Times New Roman"/>
          <w:b/>
          <w:bCs/>
          <w:sz w:val="24"/>
          <w:szCs w:val="24"/>
          <w:lang w:eastAsia="pt-BR"/>
        </w:rPr>
      </w:pPr>
    </w:p>
    <w:p w14:paraId="7C911820" w14:textId="77777777" w:rsidR="00CB2FF5" w:rsidRDefault="00CB2FF5" w:rsidP="00CB2FF5">
      <w:pPr>
        <w:spacing w:after="0" w:line="240" w:lineRule="auto"/>
        <w:ind w:left="1701"/>
        <w:jc w:val="both"/>
        <w:rPr>
          <w:rFonts w:ascii="Times New Roman" w:hAnsi="Times New Roman"/>
          <w:b/>
          <w:bCs/>
          <w:sz w:val="24"/>
          <w:szCs w:val="24"/>
          <w:lang w:eastAsia="pt-BR"/>
        </w:rPr>
      </w:pPr>
      <w:r w:rsidRPr="00F02ABE">
        <w:rPr>
          <w:rFonts w:ascii="Times New Roman" w:hAnsi="Times New Roman"/>
          <w:b/>
          <w:bCs/>
          <w:sz w:val="24"/>
          <w:szCs w:val="24"/>
          <w:lang w:eastAsia="pt-BR"/>
        </w:rPr>
        <w:t xml:space="preserve">Tabela 5 – Composição do Ativo Circulante </w:t>
      </w:r>
    </w:p>
    <w:p w14:paraId="6557761D" w14:textId="77777777" w:rsidR="00CB2FF5" w:rsidRPr="00F02ABE" w:rsidRDefault="00CB2FF5" w:rsidP="00CB2FF5">
      <w:pPr>
        <w:spacing w:after="0" w:line="240" w:lineRule="auto"/>
        <w:ind w:left="1701"/>
        <w:jc w:val="both"/>
        <w:rPr>
          <w:rFonts w:ascii="Times New Roman" w:hAnsi="Times New Roman"/>
          <w:bCs/>
          <w:sz w:val="24"/>
          <w:szCs w:val="24"/>
          <w:lang w:eastAsia="pt-BR"/>
        </w:rPr>
      </w:pPr>
      <w:r w:rsidRPr="00F02ABE">
        <w:rPr>
          <w:rFonts w:ascii="Times New Roman" w:hAnsi="Times New Roman"/>
          <w:b/>
          <w:bCs/>
          <w:sz w:val="24"/>
          <w:szCs w:val="24"/>
          <w:lang w:eastAsia="pt-BR"/>
        </w:rPr>
        <w:t xml:space="preserve">                                                                                                                                                                  </w:t>
      </w:r>
      <w:r w:rsidRPr="00F02ABE">
        <w:rPr>
          <w:rFonts w:ascii="Times New Roman" w:hAnsi="Times New Roman"/>
          <w:bCs/>
          <w:sz w:val="24"/>
          <w:szCs w:val="24"/>
          <w:lang w:eastAsia="pt-BR"/>
        </w:rPr>
        <w:t>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701"/>
        <w:gridCol w:w="1701"/>
        <w:gridCol w:w="1418"/>
        <w:gridCol w:w="1559"/>
      </w:tblGrid>
      <w:tr w:rsidR="00CB2FF5" w:rsidRPr="00F02ABE" w14:paraId="1DC9CBAF" w14:textId="77777777" w:rsidTr="00242CBD">
        <w:tc>
          <w:tcPr>
            <w:tcW w:w="4106" w:type="dxa"/>
          </w:tcPr>
          <w:p w14:paraId="675B255A" w14:textId="77777777" w:rsidR="00CB2FF5" w:rsidRPr="00F02ABE" w:rsidRDefault="00CB2FF5" w:rsidP="00242CBD">
            <w:pPr>
              <w:spacing w:after="0" w:line="240" w:lineRule="auto"/>
              <w:jc w:val="center"/>
              <w:rPr>
                <w:rFonts w:ascii="Times New Roman" w:hAnsi="Times New Roman"/>
                <w:b/>
                <w:sz w:val="24"/>
                <w:szCs w:val="24"/>
              </w:rPr>
            </w:pPr>
          </w:p>
        </w:tc>
        <w:tc>
          <w:tcPr>
            <w:tcW w:w="1701" w:type="dxa"/>
          </w:tcPr>
          <w:p w14:paraId="2EB4E056" w14:textId="77777777" w:rsidR="00CB2FF5" w:rsidRPr="00F02ABE" w:rsidRDefault="00CB2FF5" w:rsidP="00242CBD">
            <w:pPr>
              <w:spacing w:after="0" w:line="240" w:lineRule="auto"/>
              <w:jc w:val="center"/>
              <w:rPr>
                <w:rFonts w:ascii="Times New Roman" w:hAnsi="Times New Roman"/>
                <w:b/>
                <w:sz w:val="24"/>
                <w:szCs w:val="24"/>
              </w:rPr>
            </w:pPr>
            <w:r w:rsidRPr="00F02ABE">
              <w:rPr>
                <w:rFonts w:ascii="Times New Roman" w:hAnsi="Times New Roman"/>
                <w:b/>
                <w:sz w:val="24"/>
                <w:szCs w:val="24"/>
              </w:rPr>
              <w:t>202</w:t>
            </w:r>
            <w:r>
              <w:rPr>
                <w:rFonts w:ascii="Times New Roman" w:hAnsi="Times New Roman"/>
                <w:b/>
                <w:sz w:val="24"/>
                <w:szCs w:val="24"/>
              </w:rPr>
              <w:t>4</w:t>
            </w:r>
          </w:p>
        </w:tc>
        <w:tc>
          <w:tcPr>
            <w:tcW w:w="1701" w:type="dxa"/>
          </w:tcPr>
          <w:p w14:paraId="6C0F19A2" w14:textId="77777777" w:rsidR="00CB2FF5" w:rsidRPr="00F02ABE" w:rsidRDefault="00CB2FF5" w:rsidP="00242CBD">
            <w:pPr>
              <w:spacing w:after="0" w:line="240" w:lineRule="auto"/>
              <w:jc w:val="center"/>
              <w:rPr>
                <w:rFonts w:ascii="Times New Roman" w:hAnsi="Times New Roman"/>
                <w:b/>
                <w:sz w:val="24"/>
                <w:szCs w:val="24"/>
              </w:rPr>
            </w:pPr>
            <w:r w:rsidRPr="00F02ABE">
              <w:rPr>
                <w:rFonts w:ascii="Times New Roman" w:hAnsi="Times New Roman"/>
                <w:b/>
                <w:sz w:val="24"/>
                <w:szCs w:val="24"/>
              </w:rPr>
              <w:t>202</w:t>
            </w:r>
            <w:r>
              <w:rPr>
                <w:rFonts w:ascii="Times New Roman" w:hAnsi="Times New Roman"/>
                <w:b/>
                <w:sz w:val="24"/>
                <w:szCs w:val="24"/>
              </w:rPr>
              <w:t>3</w:t>
            </w:r>
          </w:p>
        </w:tc>
        <w:tc>
          <w:tcPr>
            <w:tcW w:w="1418" w:type="dxa"/>
          </w:tcPr>
          <w:p w14:paraId="1A574641" w14:textId="5E4C3CC4" w:rsidR="00CB2FF5" w:rsidRPr="00F02ABE" w:rsidRDefault="00CB2FF5" w:rsidP="00242CBD">
            <w:pPr>
              <w:spacing w:after="0" w:line="240" w:lineRule="auto"/>
              <w:jc w:val="center"/>
              <w:rPr>
                <w:rFonts w:ascii="Times New Roman" w:hAnsi="Times New Roman"/>
                <w:b/>
                <w:sz w:val="24"/>
                <w:szCs w:val="24"/>
              </w:rPr>
            </w:pPr>
            <w:r w:rsidRPr="00F02ABE">
              <w:rPr>
                <w:rFonts w:ascii="Times New Roman" w:hAnsi="Times New Roman"/>
                <w:b/>
                <w:sz w:val="24"/>
                <w:szCs w:val="24"/>
              </w:rPr>
              <w:t>AH</w:t>
            </w:r>
            <w:r w:rsidR="00511AD4">
              <w:rPr>
                <w:rFonts w:ascii="Times New Roman" w:hAnsi="Times New Roman"/>
                <w:b/>
                <w:sz w:val="24"/>
                <w:szCs w:val="24"/>
              </w:rPr>
              <w:t xml:space="preserve"> </w:t>
            </w:r>
            <w:r w:rsidRPr="00F02ABE">
              <w:rPr>
                <w:rFonts w:ascii="Times New Roman" w:hAnsi="Times New Roman"/>
                <w:b/>
                <w:sz w:val="24"/>
                <w:szCs w:val="24"/>
              </w:rPr>
              <w:t>(%)</w:t>
            </w:r>
          </w:p>
        </w:tc>
        <w:tc>
          <w:tcPr>
            <w:tcW w:w="1559" w:type="dxa"/>
          </w:tcPr>
          <w:p w14:paraId="212EDC65" w14:textId="2DC41CA5" w:rsidR="00CB2FF5" w:rsidRPr="00F02ABE" w:rsidRDefault="00CB2FF5" w:rsidP="00242CBD">
            <w:pPr>
              <w:spacing w:after="0" w:line="240" w:lineRule="auto"/>
              <w:jc w:val="center"/>
              <w:rPr>
                <w:rFonts w:ascii="Times New Roman" w:hAnsi="Times New Roman"/>
                <w:b/>
                <w:sz w:val="24"/>
                <w:szCs w:val="24"/>
              </w:rPr>
            </w:pPr>
            <w:r w:rsidRPr="00F02ABE">
              <w:rPr>
                <w:rFonts w:ascii="Times New Roman" w:hAnsi="Times New Roman"/>
                <w:b/>
                <w:sz w:val="24"/>
                <w:szCs w:val="24"/>
              </w:rPr>
              <w:t>AV</w:t>
            </w:r>
            <w:r w:rsidR="00511AD4">
              <w:rPr>
                <w:rFonts w:ascii="Times New Roman" w:hAnsi="Times New Roman"/>
                <w:b/>
                <w:sz w:val="24"/>
                <w:szCs w:val="24"/>
              </w:rPr>
              <w:t xml:space="preserve"> </w:t>
            </w:r>
            <w:r w:rsidRPr="00F02ABE">
              <w:rPr>
                <w:rFonts w:ascii="Times New Roman" w:hAnsi="Times New Roman"/>
                <w:b/>
                <w:sz w:val="24"/>
                <w:szCs w:val="24"/>
              </w:rPr>
              <w:t>(%)202</w:t>
            </w:r>
            <w:r>
              <w:rPr>
                <w:rFonts w:ascii="Times New Roman" w:hAnsi="Times New Roman"/>
                <w:b/>
                <w:sz w:val="24"/>
                <w:szCs w:val="24"/>
              </w:rPr>
              <w:t>4</w:t>
            </w:r>
          </w:p>
        </w:tc>
      </w:tr>
      <w:tr w:rsidR="00CB2FF5" w:rsidRPr="00F02ABE" w14:paraId="35EC4210" w14:textId="77777777" w:rsidTr="00242CBD">
        <w:tc>
          <w:tcPr>
            <w:tcW w:w="4106" w:type="dxa"/>
          </w:tcPr>
          <w:p w14:paraId="6197CCDE"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 xml:space="preserve">Caixa e Equivalentes de Caixa </w:t>
            </w:r>
          </w:p>
        </w:tc>
        <w:tc>
          <w:tcPr>
            <w:tcW w:w="1701" w:type="dxa"/>
          </w:tcPr>
          <w:p w14:paraId="179B47C1" w14:textId="7CEE2D3B" w:rsidR="00CB2FF5" w:rsidRPr="00F02ABE" w:rsidRDefault="00CD06C2" w:rsidP="00242CBD">
            <w:pPr>
              <w:spacing w:after="0" w:line="240" w:lineRule="auto"/>
              <w:jc w:val="right"/>
              <w:rPr>
                <w:rFonts w:ascii="Times New Roman" w:hAnsi="Times New Roman"/>
                <w:sz w:val="24"/>
                <w:szCs w:val="24"/>
              </w:rPr>
            </w:pPr>
            <w:r>
              <w:rPr>
                <w:rFonts w:ascii="Times New Roman" w:hAnsi="Times New Roman"/>
                <w:sz w:val="24"/>
                <w:szCs w:val="24"/>
              </w:rPr>
              <w:t>47.952.235,64</w:t>
            </w:r>
          </w:p>
        </w:tc>
        <w:tc>
          <w:tcPr>
            <w:tcW w:w="1701" w:type="dxa"/>
          </w:tcPr>
          <w:p w14:paraId="3B1C6831" w14:textId="2C551B33" w:rsidR="00CB2FF5" w:rsidRPr="00F02ABE" w:rsidRDefault="00B62FB9" w:rsidP="00242CBD">
            <w:pPr>
              <w:spacing w:after="0" w:line="240" w:lineRule="auto"/>
              <w:jc w:val="right"/>
              <w:rPr>
                <w:rFonts w:ascii="Times New Roman" w:hAnsi="Times New Roman"/>
                <w:sz w:val="24"/>
                <w:szCs w:val="24"/>
              </w:rPr>
            </w:pPr>
            <w:r>
              <w:rPr>
                <w:rFonts w:ascii="Times New Roman" w:hAnsi="Times New Roman"/>
                <w:sz w:val="24"/>
                <w:szCs w:val="24"/>
              </w:rPr>
              <w:t>47.516.193,58</w:t>
            </w:r>
          </w:p>
        </w:tc>
        <w:tc>
          <w:tcPr>
            <w:tcW w:w="1418" w:type="dxa"/>
          </w:tcPr>
          <w:p w14:paraId="4BD5F8AA" w14:textId="13C987EB" w:rsidR="00CB2FF5" w:rsidRPr="00F02ABE" w:rsidRDefault="00C20DBB" w:rsidP="00242CBD">
            <w:pPr>
              <w:spacing w:after="0" w:line="240" w:lineRule="auto"/>
              <w:jc w:val="center"/>
              <w:rPr>
                <w:rFonts w:ascii="Times New Roman" w:hAnsi="Times New Roman"/>
                <w:sz w:val="24"/>
                <w:szCs w:val="24"/>
              </w:rPr>
            </w:pPr>
            <w:r>
              <w:rPr>
                <w:rFonts w:ascii="Times New Roman" w:hAnsi="Times New Roman"/>
                <w:sz w:val="24"/>
                <w:szCs w:val="24"/>
              </w:rPr>
              <w:t>0,92</w:t>
            </w:r>
          </w:p>
        </w:tc>
        <w:tc>
          <w:tcPr>
            <w:tcW w:w="1559" w:type="dxa"/>
          </w:tcPr>
          <w:p w14:paraId="6AB17BEE" w14:textId="2772E270" w:rsidR="00CB2FF5" w:rsidRPr="00F02ABE" w:rsidRDefault="00C20DBB" w:rsidP="00242CBD">
            <w:pPr>
              <w:spacing w:after="0" w:line="240" w:lineRule="auto"/>
              <w:jc w:val="center"/>
              <w:rPr>
                <w:rFonts w:ascii="Times New Roman" w:hAnsi="Times New Roman"/>
                <w:sz w:val="24"/>
                <w:szCs w:val="24"/>
              </w:rPr>
            </w:pPr>
            <w:r>
              <w:rPr>
                <w:rFonts w:ascii="Times New Roman" w:hAnsi="Times New Roman"/>
                <w:sz w:val="24"/>
                <w:szCs w:val="24"/>
              </w:rPr>
              <w:t>11,97</w:t>
            </w:r>
          </w:p>
        </w:tc>
      </w:tr>
      <w:tr w:rsidR="00CB2FF5" w:rsidRPr="00F02ABE" w14:paraId="138B7932" w14:textId="77777777" w:rsidTr="00242CBD">
        <w:tc>
          <w:tcPr>
            <w:tcW w:w="4106" w:type="dxa"/>
          </w:tcPr>
          <w:p w14:paraId="43AF292B" w14:textId="77777777" w:rsidR="00CB2FF5" w:rsidRPr="00F02ABE" w:rsidRDefault="00CB2FF5" w:rsidP="00242CBD">
            <w:pPr>
              <w:spacing w:after="0" w:line="240" w:lineRule="auto"/>
              <w:jc w:val="both"/>
              <w:rPr>
                <w:rFonts w:ascii="Times New Roman" w:hAnsi="Times New Roman"/>
                <w:sz w:val="24"/>
                <w:szCs w:val="24"/>
              </w:rPr>
            </w:pPr>
            <w:r w:rsidRPr="00F02ABE">
              <w:rPr>
                <w:rFonts w:ascii="Times New Roman" w:hAnsi="Times New Roman"/>
                <w:sz w:val="24"/>
                <w:szCs w:val="24"/>
              </w:rPr>
              <w:t>Créditos a Curto Prazo</w:t>
            </w:r>
          </w:p>
        </w:tc>
        <w:tc>
          <w:tcPr>
            <w:tcW w:w="1701" w:type="dxa"/>
          </w:tcPr>
          <w:p w14:paraId="31CB29CB" w14:textId="399FDB6C" w:rsidR="00CB2FF5" w:rsidRPr="00F02ABE" w:rsidRDefault="0025546E" w:rsidP="00242CBD">
            <w:pPr>
              <w:spacing w:after="0" w:line="240" w:lineRule="auto"/>
              <w:jc w:val="right"/>
              <w:rPr>
                <w:rFonts w:ascii="Times New Roman" w:hAnsi="Times New Roman"/>
                <w:sz w:val="24"/>
                <w:szCs w:val="24"/>
              </w:rPr>
            </w:pPr>
            <w:r>
              <w:rPr>
                <w:rFonts w:ascii="Times New Roman" w:hAnsi="Times New Roman"/>
                <w:sz w:val="24"/>
                <w:szCs w:val="24"/>
              </w:rPr>
              <w:t>2.128.268,58</w:t>
            </w:r>
          </w:p>
        </w:tc>
        <w:tc>
          <w:tcPr>
            <w:tcW w:w="1701" w:type="dxa"/>
          </w:tcPr>
          <w:p w14:paraId="5A0F1C0C" w14:textId="76E33AF9" w:rsidR="00CB2FF5" w:rsidRPr="00F02ABE" w:rsidRDefault="00455100" w:rsidP="00242CBD">
            <w:pPr>
              <w:spacing w:after="0" w:line="240" w:lineRule="auto"/>
              <w:jc w:val="right"/>
              <w:rPr>
                <w:rFonts w:ascii="Times New Roman" w:hAnsi="Times New Roman"/>
                <w:sz w:val="24"/>
                <w:szCs w:val="24"/>
              </w:rPr>
            </w:pPr>
            <w:r>
              <w:rPr>
                <w:rFonts w:ascii="Times New Roman" w:hAnsi="Times New Roman"/>
                <w:sz w:val="24"/>
                <w:szCs w:val="24"/>
              </w:rPr>
              <w:t>1.931.051,38</w:t>
            </w:r>
          </w:p>
        </w:tc>
        <w:tc>
          <w:tcPr>
            <w:tcW w:w="1418" w:type="dxa"/>
          </w:tcPr>
          <w:p w14:paraId="10B3E742" w14:textId="42F6E6E5" w:rsidR="00CB2FF5" w:rsidRPr="00F02ABE" w:rsidRDefault="00C20DBB" w:rsidP="00242CBD">
            <w:pPr>
              <w:spacing w:after="0" w:line="240" w:lineRule="auto"/>
              <w:jc w:val="center"/>
              <w:rPr>
                <w:rFonts w:ascii="Times New Roman" w:hAnsi="Times New Roman"/>
                <w:sz w:val="24"/>
                <w:szCs w:val="24"/>
              </w:rPr>
            </w:pPr>
            <w:r>
              <w:rPr>
                <w:rFonts w:ascii="Times New Roman" w:hAnsi="Times New Roman"/>
                <w:sz w:val="24"/>
                <w:szCs w:val="24"/>
              </w:rPr>
              <w:t>10,00</w:t>
            </w:r>
          </w:p>
        </w:tc>
        <w:tc>
          <w:tcPr>
            <w:tcW w:w="1559" w:type="dxa"/>
          </w:tcPr>
          <w:p w14:paraId="60BB7BDB" w14:textId="69C1BA24" w:rsidR="00CB2FF5" w:rsidRPr="00F02ABE" w:rsidRDefault="00C20DBB" w:rsidP="00242CBD">
            <w:pPr>
              <w:spacing w:after="0" w:line="240" w:lineRule="auto"/>
              <w:jc w:val="center"/>
              <w:rPr>
                <w:rFonts w:ascii="Times New Roman" w:hAnsi="Times New Roman"/>
                <w:sz w:val="24"/>
                <w:szCs w:val="24"/>
              </w:rPr>
            </w:pPr>
            <w:r>
              <w:rPr>
                <w:rFonts w:ascii="Times New Roman" w:hAnsi="Times New Roman"/>
                <w:sz w:val="24"/>
                <w:szCs w:val="24"/>
              </w:rPr>
              <w:t>0,53</w:t>
            </w:r>
          </w:p>
        </w:tc>
      </w:tr>
      <w:tr w:rsidR="00CB2FF5" w:rsidRPr="00F02ABE" w14:paraId="27303BB1" w14:textId="77777777" w:rsidTr="00242CBD">
        <w:tc>
          <w:tcPr>
            <w:tcW w:w="4106" w:type="dxa"/>
          </w:tcPr>
          <w:p w14:paraId="68B53792" w14:textId="77777777" w:rsidR="00CB2FF5" w:rsidRPr="00F02ABE" w:rsidRDefault="00CB2FF5" w:rsidP="00242CBD">
            <w:pPr>
              <w:spacing w:after="0" w:line="240" w:lineRule="auto"/>
              <w:jc w:val="both"/>
              <w:rPr>
                <w:rFonts w:ascii="Times New Roman" w:hAnsi="Times New Roman"/>
                <w:sz w:val="24"/>
                <w:szCs w:val="24"/>
              </w:rPr>
            </w:pPr>
            <w:r>
              <w:rPr>
                <w:rFonts w:ascii="Times New Roman" w:hAnsi="Times New Roman"/>
                <w:sz w:val="24"/>
                <w:szCs w:val="24"/>
              </w:rPr>
              <w:t>Demais Créditos e Valores a Curto Prazo</w:t>
            </w:r>
          </w:p>
        </w:tc>
        <w:tc>
          <w:tcPr>
            <w:tcW w:w="1701" w:type="dxa"/>
          </w:tcPr>
          <w:p w14:paraId="0B21D607" w14:textId="4B262409" w:rsidR="00CB2FF5" w:rsidRPr="00F02ABE" w:rsidRDefault="00892FA6" w:rsidP="00242CBD">
            <w:pPr>
              <w:spacing w:after="0" w:line="240" w:lineRule="auto"/>
              <w:jc w:val="right"/>
              <w:rPr>
                <w:rFonts w:ascii="Times New Roman" w:hAnsi="Times New Roman"/>
                <w:sz w:val="24"/>
                <w:szCs w:val="24"/>
              </w:rPr>
            </w:pPr>
            <w:r>
              <w:rPr>
                <w:rFonts w:ascii="Times New Roman" w:hAnsi="Times New Roman"/>
                <w:sz w:val="24"/>
                <w:szCs w:val="24"/>
              </w:rPr>
              <w:t>0,00</w:t>
            </w:r>
          </w:p>
        </w:tc>
        <w:tc>
          <w:tcPr>
            <w:tcW w:w="1701" w:type="dxa"/>
          </w:tcPr>
          <w:p w14:paraId="2C1C72EE" w14:textId="18F82B91" w:rsidR="00CB2FF5" w:rsidRPr="00F02ABE" w:rsidRDefault="0038436B" w:rsidP="00242CBD">
            <w:pPr>
              <w:spacing w:after="0" w:line="240" w:lineRule="auto"/>
              <w:jc w:val="right"/>
              <w:rPr>
                <w:rFonts w:ascii="Times New Roman" w:hAnsi="Times New Roman"/>
                <w:sz w:val="24"/>
                <w:szCs w:val="24"/>
              </w:rPr>
            </w:pPr>
            <w:r>
              <w:rPr>
                <w:rFonts w:ascii="Times New Roman" w:hAnsi="Times New Roman"/>
                <w:sz w:val="24"/>
                <w:szCs w:val="24"/>
              </w:rPr>
              <w:t>0,00</w:t>
            </w:r>
          </w:p>
        </w:tc>
        <w:tc>
          <w:tcPr>
            <w:tcW w:w="1418" w:type="dxa"/>
          </w:tcPr>
          <w:p w14:paraId="5A71EAA1" w14:textId="1FF7A982" w:rsidR="00CB2FF5" w:rsidRPr="00F02ABE" w:rsidRDefault="00C15248" w:rsidP="00242CBD">
            <w:pPr>
              <w:spacing w:after="0" w:line="240" w:lineRule="auto"/>
              <w:jc w:val="center"/>
              <w:rPr>
                <w:rFonts w:ascii="Times New Roman" w:hAnsi="Times New Roman"/>
                <w:sz w:val="24"/>
                <w:szCs w:val="24"/>
              </w:rPr>
            </w:pPr>
            <w:r>
              <w:rPr>
                <w:rFonts w:ascii="Times New Roman" w:hAnsi="Times New Roman"/>
                <w:sz w:val="24"/>
                <w:szCs w:val="24"/>
              </w:rPr>
              <w:t>0,00</w:t>
            </w:r>
          </w:p>
        </w:tc>
        <w:tc>
          <w:tcPr>
            <w:tcW w:w="1559" w:type="dxa"/>
          </w:tcPr>
          <w:p w14:paraId="5F42F7FB" w14:textId="1E76221A" w:rsidR="00CB2FF5" w:rsidRPr="00F02ABE" w:rsidRDefault="00C15248" w:rsidP="00242CBD">
            <w:pPr>
              <w:spacing w:after="0" w:line="240" w:lineRule="auto"/>
              <w:jc w:val="center"/>
              <w:rPr>
                <w:rFonts w:ascii="Times New Roman" w:hAnsi="Times New Roman"/>
                <w:sz w:val="24"/>
                <w:szCs w:val="24"/>
              </w:rPr>
            </w:pPr>
            <w:r>
              <w:rPr>
                <w:rFonts w:ascii="Times New Roman" w:hAnsi="Times New Roman"/>
                <w:sz w:val="24"/>
                <w:szCs w:val="24"/>
              </w:rPr>
              <w:t>0,00</w:t>
            </w:r>
          </w:p>
        </w:tc>
      </w:tr>
      <w:tr w:rsidR="00EF5AF1" w:rsidRPr="00F02ABE" w14:paraId="11F98CE9" w14:textId="77777777" w:rsidTr="00242CBD">
        <w:tc>
          <w:tcPr>
            <w:tcW w:w="4106" w:type="dxa"/>
          </w:tcPr>
          <w:p w14:paraId="006EB12C" w14:textId="77777777" w:rsidR="00EF5AF1" w:rsidRPr="00F02ABE" w:rsidRDefault="00EF5AF1" w:rsidP="00EF5AF1">
            <w:pPr>
              <w:spacing w:after="0" w:line="240" w:lineRule="auto"/>
              <w:jc w:val="both"/>
              <w:rPr>
                <w:rFonts w:ascii="Times New Roman" w:hAnsi="Times New Roman"/>
                <w:sz w:val="24"/>
                <w:szCs w:val="24"/>
              </w:rPr>
            </w:pPr>
            <w:r w:rsidRPr="00F02ABE">
              <w:rPr>
                <w:rFonts w:ascii="Times New Roman" w:hAnsi="Times New Roman"/>
                <w:sz w:val="24"/>
                <w:szCs w:val="24"/>
              </w:rPr>
              <w:t>Estoques</w:t>
            </w:r>
          </w:p>
        </w:tc>
        <w:tc>
          <w:tcPr>
            <w:tcW w:w="1701" w:type="dxa"/>
          </w:tcPr>
          <w:p w14:paraId="318F9D7B" w14:textId="7B4F65D9" w:rsidR="00EF5AF1" w:rsidRPr="00F02ABE" w:rsidRDefault="00892FA6" w:rsidP="00EF5AF1">
            <w:pPr>
              <w:spacing w:after="0" w:line="240" w:lineRule="auto"/>
              <w:jc w:val="right"/>
              <w:rPr>
                <w:rFonts w:ascii="Times New Roman" w:hAnsi="Times New Roman"/>
                <w:sz w:val="24"/>
                <w:szCs w:val="24"/>
              </w:rPr>
            </w:pPr>
            <w:r>
              <w:rPr>
                <w:rFonts w:ascii="Times New Roman" w:hAnsi="Times New Roman"/>
                <w:sz w:val="24"/>
                <w:szCs w:val="24"/>
              </w:rPr>
              <w:t>7.172.462,16</w:t>
            </w:r>
          </w:p>
        </w:tc>
        <w:tc>
          <w:tcPr>
            <w:tcW w:w="1701" w:type="dxa"/>
          </w:tcPr>
          <w:p w14:paraId="6D994FDF" w14:textId="09B5B524" w:rsidR="00EF5AF1" w:rsidRPr="00F02ABE" w:rsidRDefault="00EF5AF1" w:rsidP="00EF5AF1">
            <w:pPr>
              <w:spacing w:after="0" w:line="240" w:lineRule="auto"/>
              <w:jc w:val="right"/>
              <w:rPr>
                <w:rFonts w:ascii="Times New Roman" w:hAnsi="Times New Roman"/>
                <w:sz w:val="24"/>
                <w:szCs w:val="24"/>
              </w:rPr>
            </w:pPr>
            <w:r>
              <w:rPr>
                <w:rFonts w:ascii="Times New Roman" w:hAnsi="Times New Roman"/>
                <w:sz w:val="24"/>
                <w:szCs w:val="24"/>
              </w:rPr>
              <w:t>6.017.550,90</w:t>
            </w:r>
          </w:p>
        </w:tc>
        <w:tc>
          <w:tcPr>
            <w:tcW w:w="1418" w:type="dxa"/>
          </w:tcPr>
          <w:p w14:paraId="2D9A21B3" w14:textId="48E0FAD3" w:rsidR="00EF5AF1" w:rsidRPr="00F02ABE" w:rsidRDefault="00C15248" w:rsidP="00EF5AF1">
            <w:pPr>
              <w:spacing w:after="0" w:line="240" w:lineRule="auto"/>
              <w:jc w:val="center"/>
              <w:rPr>
                <w:rFonts w:ascii="Times New Roman" w:hAnsi="Times New Roman"/>
                <w:sz w:val="24"/>
                <w:szCs w:val="24"/>
              </w:rPr>
            </w:pPr>
            <w:r>
              <w:rPr>
                <w:rFonts w:ascii="Times New Roman" w:hAnsi="Times New Roman"/>
                <w:sz w:val="24"/>
                <w:szCs w:val="24"/>
              </w:rPr>
              <w:t>19,19</w:t>
            </w:r>
          </w:p>
        </w:tc>
        <w:tc>
          <w:tcPr>
            <w:tcW w:w="1559" w:type="dxa"/>
          </w:tcPr>
          <w:p w14:paraId="0D0B9FAE" w14:textId="70190597" w:rsidR="00EF5AF1" w:rsidRPr="00F02ABE" w:rsidRDefault="00C15248" w:rsidP="00EF5AF1">
            <w:pPr>
              <w:spacing w:after="0" w:line="240" w:lineRule="auto"/>
              <w:jc w:val="center"/>
              <w:rPr>
                <w:rFonts w:ascii="Times New Roman" w:hAnsi="Times New Roman"/>
                <w:sz w:val="24"/>
                <w:szCs w:val="24"/>
              </w:rPr>
            </w:pPr>
            <w:r>
              <w:rPr>
                <w:rFonts w:ascii="Times New Roman" w:hAnsi="Times New Roman"/>
                <w:sz w:val="24"/>
                <w:szCs w:val="24"/>
              </w:rPr>
              <w:t>1,79</w:t>
            </w:r>
          </w:p>
        </w:tc>
      </w:tr>
      <w:tr w:rsidR="00EF5AF1" w:rsidRPr="00F02ABE" w14:paraId="220280D1" w14:textId="77777777" w:rsidTr="00242CBD">
        <w:tc>
          <w:tcPr>
            <w:tcW w:w="4106" w:type="dxa"/>
          </w:tcPr>
          <w:p w14:paraId="2D9F910D" w14:textId="77777777" w:rsidR="00EF5AF1" w:rsidRPr="00F02ABE" w:rsidRDefault="00EF5AF1" w:rsidP="00EF5AF1">
            <w:pPr>
              <w:spacing w:after="0" w:line="240" w:lineRule="auto"/>
              <w:jc w:val="both"/>
              <w:rPr>
                <w:rFonts w:ascii="Times New Roman" w:hAnsi="Times New Roman"/>
                <w:b/>
                <w:sz w:val="24"/>
                <w:szCs w:val="24"/>
              </w:rPr>
            </w:pPr>
            <w:r w:rsidRPr="00F02ABE">
              <w:rPr>
                <w:rFonts w:ascii="Times New Roman" w:hAnsi="Times New Roman"/>
                <w:b/>
                <w:sz w:val="24"/>
                <w:szCs w:val="24"/>
              </w:rPr>
              <w:t>Total do Ativo Circulante</w:t>
            </w:r>
          </w:p>
        </w:tc>
        <w:tc>
          <w:tcPr>
            <w:tcW w:w="1701" w:type="dxa"/>
          </w:tcPr>
          <w:p w14:paraId="5D8C615C" w14:textId="76EFD56E" w:rsidR="00EF5AF1" w:rsidRPr="00C30262" w:rsidRDefault="00CD06C2" w:rsidP="00EF5AF1">
            <w:pPr>
              <w:spacing w:after="0" w:line="240" w:lineRule="auto"/>
              <w:jc w:val="right"/>
              <w:rPr>
                <w:rFonts w:ascii="Times New Roman" w:hAnsi="Times New Roman"/>
                <w:b/>
                <w:bCs/>
                <w:sz w:val="24"/>
                <w:szCs w:val="24"/>
              </w:rPr>
            </w:pPr>
            <w:r>
              <w:rPr>
                <w:rFonts w:ascii="Times New Roman" w:hAnsi="Times New Roman"/>
                <w:b/>
                <w:bCs/>
                <w:sz w:val="24"/>
                <w:szCs w:val="24"/>
              </w:rPr>
              <w:t>57.252.966,38</w:t>
            </w:r>
          </w:p>
        </w:tc>
        <w:tc>
          <w:tcPr>
            <w:tcW w:w="1701" w:type="dxa"/>
          </w:tcPr>
          <w:p w14:paraId="6D7FE4C1" w14:textId="74B97175" w:rsidR="00EF5AF1" w:rsidRPr="00C30262" w:rsidRDefault="00EF5AF1" w:rsidP="00EF5AF1">
            <w:pPr>
              <w:spacing w:after="0" w:line="240" w:lineRule="auto"/>
              <w:jc w:val="right"/>
              <w:rPr>
                <w:rFonts w:ascii="Times New Roman" w:hAnsi="Times New Roman"/>
                <w:b/>
                <w:bCs/>
                <w:sz w:val="24"/>
                <w:szCs w:val="24"/>
              </w:rPr>
            </w:pPr>
            <w:r w:rsidRPr="00C30262">
              <w:rPr>
                <w:rFonts w:ascii="Times New Roman" w:hAnsi="Times New Roman"/>
                <w:b/>
                <w:bCs/>
                <w:sz w:val="24"/>
                <w:szCs w:val="24"/>
              </w:rPr>
              <w:t>55.464.795,86</w:t>
            </w:r>
          </w:p>
        </w:tc>
        <w:tc>
          <w:tcPr>
            <w:tcW w:w="1418" w:type="dxa"/>
          </w:tcPr>
          <w:p w14:paraId="5E77B440" w14:textId="0FBF6577" w:rsidR="00EF5AF1" w:rsidRPr="00C30262" w:rsidRDefault="00C15248" w:rsidP="00EF5AF1">
            <w:pPr>
              <w:spacing w:after="0" w:line="240" w:lineRule="auto"/>
              <w:jc w:val="center"/>
              <w:rPr>
                <w:rFonts w:ascii="Times New Roman" w:hAnsi="Times New Roman"/>
                <w:b/>
                <w:bCs/>
                <w:sz w:val="24"/>
                <w:szCs w:val="24"/>
              </w:rPr>
            </w:pPr>
            <w:r>
              <w:rPr>
                <w:rFonts w:ascii="Times New Roman" w:hAnsi="Times New Roman"/>
                <w:b/>
                <w:bCs/>
                <w:sz w:val="24"/>
                <w:szCs w:val="24"/>
              </w:rPr>
              <w:t>3,22</w:t>
            </w:r>
          </w:p>
        </w:tc>
        <w:tc>
          <w:tcPr>
            <w:tcW w:w="1559" w:type="dxa"/>
          </w:tcPr>
          <w:p w14:paraId="314AEA12" w14:textId="147979DE" w:rsidR="00EF5AF1" w:rsidRPr="00C30262" w:rsidRDefault="00C15248" w:rsidP="00EF5AF1">
            <w:pPr>
              <w:spacing w:after="0" w:line="240" w:lineRule="auto"/>
              <w:jc w:val="center"/>
              <w:rPr>
                <w:rFonts w:ascii="Times New Roman" w:hAnsi="Times New Roman"/>
                <w:b/>
                <w:bCs/>
                <w:sz w:val="24"/>
                <w:szCs w:val="24"/>
              </w:rPr>
            </w:pPr>
            <w:r>
              <w:rPr>
                <w:rFonts w:ascii="Times New Roman" w:hAnsi="Times New Roman"/>
                <w:b/>
                <w:bCs/>
                <w:sz w:val="24"/>
                <w:szCs w:val="24"/>
              </w:rPr>
              <w:t>14,29</w:t>
            </w:r>
          </w:p>
        </w:tc>
      </w:tr>
    </w:tbl>
    <w:p w14:paraId="5514A851" w14:textId="578BBFEE" w:rsidR="00CB2FF5" w:rsidRDefault="00CB2FF5" w:rsidP="00CB2FF5">
      <w:pPr>
        <w:spacing w:after="0" w:line="240" w:lineRule="auto"/>
        <w:ind w:left="1701"/>
        <w:jc w:val="both"/>
        <w:rPr>
          <w:rFonts w:ascii="Times New Roman" w:hAnsi="Times New Roman"/>
          <w:sz w:val="24"/>
          <w:szCs w:val="24"/>
        </w:rPr>
      </w:pPr>
      <w:r w:rsidRPr="005F217B">
        <w:rPr>
          <w:rFonts w:ascii="Times New Roman" w:hAnsi="Times New Roman"/>
          <w:sz w:val="20"/>
          <w:szCs w:val="20"/>
        </w:rPr>
        <w:t>Fonte: SIAFI, 2024 e 2023</w:t>
      </w:r>
      <w:r w:rsidRPr="00F02ABE">
        <w:rPr>
          <w:rFonts w:ascii="Times New Roman" w:hAnsi="Times New Roman"/>
          <w:sz w:val="24"/>
          <w:szCs w:val="24"/>
        </w:rPr>
        <w:t>.</w:t>
      </w:r>
    </w:p>
    <w:p w14:paraId="274EED12" w14:textId="77777777" w:rsidR="00511AD4" w:rsidRPr="00F02ABE" w:rsidRDefault="00511AD4" w:rsidP="00CB2FF5">
      <w:pPr>
        <w:spacing w:after="0" w:line="240" w:lineRule="auto"/>
        <w:ind w:left="1701"/>
        <w:jc w:val="both"/>
        <w:rPr>
          <w:rFonts w:ascii="Times New Roman" w:hAnsi="Times New Roman"/>
          <w:sz w:val="24"/>
          <w:szCs w:val="24"/>
        </w:rPr>
      </w:pPr>
    </w:p>
    <w:p w14:paraId="107416CC" w14:textId="19E99CB0" w:rsidR="00CB2FF5" w:rsidRDefault="00CB2FF5" w:rsidP="00CB2FF5">
      <w:pPr>
        <w:numPr>
          <w:ilvl w:val="1"/>
          <w:numId w:val="6"/>
        </w:numPr>
        <w:autoSpaceDE w:val="0"/>
        <w:autoSpaceDN w:val="0"/>
        <w:adjustRightInd w:val="0"/>
        <w:spacing w:after="0" w:line="240" w:lineRule="auto"/>
        <w:jc w:val="both"/>
        <w:rPr>
          <w:rFonts w:ascii="Times New Roman" w:hAnsi="Times New Roman"/>
          <w:b/>
          <w:sz w:val="24"/>
          <w:szCs w:val="24"/>
          <w:lang w:eastAsia="pt-BR"/>
        </w:rPr>
      </w:pPr>
      <w:r w:rsidRPr="00F02ABE">
        <w:rPr>
          <w:rFonts w:ascii="Times New Roman" w:hAnsi="Times New Roman"/>
          <w:b/>
          <w:sz w:val="24"/>
          <w:szCs w:val="24"/>
          <w:lang w:eastAsia="pt-BR"/>
        </w:rPr>
        <w:t>Ativo Não Circulante</w:t>
      </w:r>
    </w:p>
    <w:p w14:paraId="3264EE0D" w14:textId="77777777" w:rsidR="00A22CAC" w:rsidRDefault="00A22CAC" w:rsidP="00A22CAC">
      <w:pPr>
        <w:autoSpaceDE w:val="0"/>
        <w:autoSpaceDN w:val="0"/>
        <w:adjustRightInd w:val="0"/>
        <w:spacing w:after="0" w:line="240" w:lineRule="auto"/>
        <w:ind w:left="2061"/>
        <w:jc w:val="both"/>
        <w:rPr>
          <w:rFonts w:ascii="Times New Roman" w:hAnsi="Times New Roman"/>
          <w:b/>
          <w:sz w:val="24"/>
          <w:szCs w:val="24"/>
          <w:lang w:eastAsia="pt-BR"/>
        </w:rPr>
      </w:pPr>
    </w:p>
    <w:p w14:paraId="509B4D1A" w14:textId="728E9F4E"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O Ativo Não Circulante </w:t>
      </w:r>
      <w:r>
        <w:rPr>
          <w:rFonts w:ascii="Times New Roman" w:hAnsi="Times New Roman"/>
          <w:sz w:val="24"/>
          <w:szCs w:val="24"/>
          <w:lang w:eastAsia="pt-BR"/>
        </w:rPr>
        <w:t>teve um acréscimo</w:t>
      </w:r>
      <w:r w:rsidRPr="00F02ABE">
        <w:rPr>
          <w:rFonts w:ascii="Times New Roman" w:hAnsi="Times New Roman"/>
          <w:sz w:val="24"/>
          <w:szCs w:val="24"/>
          <w:lang w:eastAsia="pt-BR"/>
        </w:rPr>
        <w:t xml:space="preserve"> em relação ao final do exercício anterior </w:t>
      </w:r>
      <w:r>
        <w:rPr>
          <w:rFonts w:ascii="Times New Roman" w:hAnsi="Times New Roman"/>
          <w:sz w:val="24"/>
          <w:szCs w:val="24"/>
          <w:lang w:eastAsia="pt-BR"/>
        </w:rPr>
        <w:t xml:space="preserve">de </w:t>
      </w:r>
      <w:r w:rsidR="00235072">
        <w:rPr>
          <w:rFonts w:ascii="Times New Roman" w:hAnsi="Times New Roman"/>
          <w:sz w:val="24"/>
          <w:szCs w:val="24"/>
          <w:lang w:eastAsia="pt-BR"/>
        </w:rPr>
        <w:t>4,4</w:t>
      </w:r>
      <w:r w:rsidR="00F34962">
        <w:rPr>
          <w:rFonts w:ascii="Times New Roman" w:hAnsi="Times New Roman"/>
          <w:sz w:val="24"/>
          <w:szCs w:val="24"/>
          <w:lang w:eastAsia="pt-BR"/>
        </w:rPr>
        <w:t>8</w:t>
      </w:r>
      <w:r w:rsidRPr="00F02ABE">
        <w:rPr>
          <w:rFonts w:ascii="Times New Roman" w:hAnsi="Times New Roman"/>
          <w:sz w:val="24"/>
          <w:szCs w:val="24"/>
          <w:lang w:eastAsia="pt-BR"/>
        </w:rPr>
        <w:t xml:space="preserve">%, </w:t>
      </w:r>
      <w:r>
        <w:rPr>
          <w:rFonts w:ascii="Times New Roman" w:hAnsi="Times New Roman"/>
          <w:sz w:val="24"/>
          <w:szCs w:val="24"/>
          <w:lang w:eastAsia="pt-BR"/>
        </w:rPr>
        <w:t xml:space="preserve">sendo que </w:t>
      </w:r>
      <w:r w:rsidRPr="00F02ABE">
        <w:rPr>
          <w:rFonts w:ascii="Times New Roman" w:hAnsi="Times New Roman"/>
          <w:sz w:val="24"/>
          <w:szCs w:val="24"/>
          <w:lang w:eastAsia="pt-BR"/>
        </w:rPr>
        <w:t xml:space="preserve">o mesmo participa com </w:t>
      </w:r>
      <w:r w:rsidR="00CF55EA">
        <w:rPr>
          <w:rFonts w:ascii="Times New Roman" w:hAnsi="Times New Roman"/>
          <w:sz w:val="24"/>
          <w:szCs w:val="24"/>
          <w:lang w:eastAsia="pt-BR"/>
        </w:rPr>
        <w:t>8</w:t>
      </w:r>
      <w:r w:rsidR="00235072">
        <w:rPr>
          <w:rFonts w:ascii="Times New Roman" w:hAnsi="Times New Roman"/>
          <w:sz w:val="24"/>
          <w:szCs w:val="24"/>
          <w:lang w:eastAsia="pt-BR"/>
        </w:rPr>
        <w:t>5,</w:t>
      </w:r>
      <w:r w:rsidR="008A1F4A">
        <w:rPr>
          <w:rFonts w:ascii="Times New Roman" w:hAnsi="Times New Roman"/>
          <w:sz w:val="24"/>
          <w:szCs w:val="24"/>
          <w:lang w:eastAsia="pt-BR"/>
        </w:rPr>
        <w:t>71</w:t>
      </w:r>
      <w:r>
        <w:rPr>
          <w:rFonts w:ascii="Times New Roman" w:hAnsi="Times New Roman"/>
          <w:sz w:val="24"/>
          <w:szCs w:val="24"/>
          <w:lang w:eastAsia="pt-BR"/>
        </w:rPr>
        <w:t>%</w:t>
      </w:r>
      <w:r w:rsidRPr="00F02ABE">
        <w:rPr>
          <w:rFonts w:ascii="Times New Roman" w:hAnsi="Times New Roman"/>
          <w:sz w:val="24"/>
          <w:szCs w:val="24"/>
          <w:lang w:eastAsia="pt-BR"/>
        </w:rPr>
        <w:t xml:space="preserve"> do Total do Ativo. O subgrupo do Imobilizado é o que possui a maior representatividade em relação à composição total do Ativo, ou seja, 8</w:t>
      </w:r>
      <w:r w:rsidR="008A1F4A">
        <w:rPr>
          <w:rFonts w:ascii="Times New Roman" w:hAnsi="Times New Roman"/>
          <w:sz w:val="24"/>
          <w:szCs w:val="24"/>
          <w:lang w:eastAsia="pt-BR"/>
        </w:rPr>
        <w:t>5,47</w:t>
      </w:r>
      <w:r w:rsidRPr="00F02ABE">
        <w:rPr>
          <w:rFonts w:ascii="Times New Roman" w:hAnsi="Times New Roman"/>
          <w:sz w:val="24"/>
          <w:szCs w:val="24"/>
          <w:lang w:eastAsia="pt-BR"/>
        </w:rPr>
        <w:t xml:space="preserve">%, e </w:t>
      </w:r>
      <w:r>
        <w:rPr>
          <w:rFonts w:ascii="Times New Roman" w:hAnsi="Times New Roman"/>
          <w:sz w:val="24"/>
          <w:szCs w:val="24"/>
          <w:lang w:eastAsia="pt-BR"/>
        </w:rPr>
        <w:t xml:space="preserve">aumentou </w:t>
      </w:r>
      <w:r w:rsidR="00F34962">
        <w:rPr>
          <w:rFonts w:ascii="Times New Roman" w:hAnsi="Times New Roman"/>
          <w:sz w:val="24"/>
          <w:szCs w:val="24"/>
          <w:lang w:eastAsia="pt-BR"/>
        </w:rPr>
        <w:t>4,49</w:t>
      </w:r>
      <w:r w:rsidRPr="00F02ABE">
        <w:rPr>
          <w:rFonts w:ascii="Times New Roman" w:hAnsi="Times New Roman"/>
          <w:sz w:val="24"/>
          <w:szCs w:val="24"/>
          <w:lang w:eastAsia="pt-BR"/>
        </w:rPr>
        <w:t xml:space="preserve">%. </w:t>
      </w:r>
    </w:p>
    <w:p w14:paraId="70E9B2BD"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507AE3C3" w14:textId="77777777" w:rsidR="00CB2FF5" w:rsidRPr="00F02ABE" w:rsidRDefault="00CB2FF5" w:rsidP="00CB2FF5">
      <w:pPr>
        <w:autoSpaceDE w:val="0"/>
        <w:autoSpaceDN w:val="0"/>
        <w:adjustRightInd w:val="0"/>
        <w:spacing w:after="0" w:line="240" w:lineRule="auto"/>
        <w:ind w:left="1701"/>
        <w:rPr>
          <w:rFonts w:ascii="Times New Roman" w:hAnsi="Times New Roman"/>
          <w:b/>
          <w:bCs/>
          <w:sz w:val="24"/>
          <w:szCs w:val="24"/>
          <w:lang w:eastAsia="pt-BR"/>
        </w:rPr>
      </w:pPr>
      <w:r w:rsidRPr="00F02ABE">
        <w:rPr>
          <w:rFonts w:ascii="Times New Roman" w:hAnsi="Times New Roman"/>
          <w:b/>
          <w:bCs/>
          <w:sz w:val="24"/>
          <w:szCs w:val="24"/>
          <w:lang w:eastAsia="pt-BR"/>
        </w:rPr>
        <w:t xml:space="preserve">Tabela 6 – Composição do Ativo Não Circulante </w:t>
      </w:r>
    </w:p>
    <w:p w14:paraId="15808749" w14:textId="77777777" w:rsidR="00CB2FF5" w:rsidRPr="00F02ABE" w:rsidRDefault="00CB2FF5" w:rsidP="00CB2FF5">
      <w:pPr>
        <w:autoSpaceDE w:val="0"/>
        <w:autoSpaceDN w:val="0"/>
        <w:adjustRightInd w:val="0"/>
        <w:spacing w:after="0" w:line="240" w:lineRule="auto"/>
        <w:ind w:left="1701"/>
        <w:jc w:val="right"/>
        <w:rPr>
          <w:rFonts w:ascii="Times New Roman" w:hAnsi="Times New Roman"/>
          <w:bCs/>
          <w:sz w:val="24"/>
          <w:szCs w:val="24"/>
          <w:lang w:eastAsia="pt-BR"/>
        </w:rPr>
      </w:pPr>
      <w:r w:rsidRPr="00F02ABE">
        <w:rPr>
          <w:rFonts w:ascii="Times New Roman" w:hAnsi="Times New Roman"/>
          <w:b/>
          <w:bCs/>
          <w:sz w:val="24"/>
          <w:szCs w:val="24"/>
          <w:lang w:eastAsia="pt-BR"/>
        </w:rPr>
        <w:t xml:space="preserve">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033"/>
        <w:gridCol w:w="2266"/>
        <w:gridCol w:w="1771"/>
        <w:gridCol w:w="1549"/>
      </w:tblGrid>
      <w:tr w:rsidR="00CB2FF5" w:rsidRPr="00F02ABE" w14:paraId="739E8F63" w14:textId="77777777" w:rsidTr="00242CBD">
        <w:tc>
          <w:tcPr>
            <w:tcW w:w="4106" w:type="dxa"/>
          </w:tcPr>
          <w:p w14:paraId="7ED2AE05"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r w:rsidRPr="00F02ABE">
              <w:rPr>
                <w:rFonts w:ascii="Times New Roman" w:hAnsi="Times New Roman"/>
                <w:b/>
                <w:bCs/>
                <w:sz w:val="24"/>
                <w:szCs w:val="24"/>
                <w:lang w:eastAsia="pt-BR"/>
              </w:rPr>
              <w:t>Composição do Ativo Não Circulante</w:t>
            </w:r>
          </w:p>
        </w:tc>
        <w:tc>
          <w:tcPr>
            <w:tcW w:w="2033" w:type="dxa"/>
          </w:tcPr>
          <w:p w14:paraId="736ADFFD"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202</w:t>
            </w:r>
            <w:r>
              <w:rPr>
                <w:rFonts w:ascii="Times New Roman" w:hAnsi="Times New Roman"/>
                <w:b/>
                <w:sz w:val="24"/>
                <w:szCs w:val="24"/>
              </w:rPr>
              <w:t>4</w:t>
            </w:r>
          </w:p>
        </w:tc>
        <w:tc>
          <w:tcPr>
            <w:tcW w:w="2266" w:type="dxa"/>
          </w:tcPr>
          <w:p w14:paraId="661FD595"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202</w:t>
            </w:r>
            <w:r>
              <w:rPr>
                <w:rFonts w:ascii="Times New Roman" w:hAnsi="Times New Roman"/>
                <w:b/>
                <w:sz w:val="24"/>
                <w:szCs w:val="24"/>
              </w:rPr>
              <w:t>3</w:t>
            </w:r>
          </w:p>
        </w:tc>
        <w:tc>
          <w:tcPr>
            <w:tcW w:w="1771" w:type="dxa"/>
          </w:tcPr>
          <w:p w14:paraId="6E51ABE3" w14:textId="7DD707B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AH</w:t>
            </w:r>
            <w:r w:rsidR="00511AD4">
              <w:rPr>
                <w:rFonts w:ascii="Times New Roman" w:hAnsi="Times New Roman"/>
                <w:b/>
                <w:sz w:val="24"/>
                <w:szCs w:val="24"/>
              </w:rPr>
              <w:t xml:space="preserve"> </w:t>
            </w:r>
            <w:r w:rsidRPr="00F02ABE">
              <w:rPr>
                <w:rFonts w:ascii="Times New Roman" w:hAnsi="Times New Roman"/>
                <w:b/>
                <w:sz w:val="24"/>
                <w:szCs w:val="24"/>
              </w:rPr>
              <w:t>(%)</w:t>
            </w:r>
          </w:p>
        </w:tc>
        <w:tc>
          <w:tcPr>
            <w:tcW w:w="1549" w:type="dxa"/>
          </w:tcPr>
          <w:p w14:paraId="4E3C1FD8" w14:textId="3E05CCF3"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AV</w:t>
            </w:r>
            <w:r w:rsidR="00511AD4">
              <w:rPr>
                <w:rFonts w:ascii="Times New Roman" w:hAnsi="Times New Roman"/>
                <w:b/>
                <w:sz w:val="24"/>
                <w:szCs w:val="24"/>
              </w:rPr>
              <w:t xml:space="preserve"> </w:t>
            </w:r>
            <w:r w:rsidRPr="00F02ABE">
              <w:rPr>
                <w:rFonts w:ascii="Times New Roman" w:hAnsi="Times New Roman"/>
                <w:b/>
                <w:sz w:val="24"/>
                <w:szCs w:val="24"/>
              </w:rPr>
              <w:t>(%)</w:t>
            </w:r>
          </w:p>
        </w:tc>
      </w:tr>
      <w:tr w:rsidR="00CB2FF5" w:rsidRPr="00F02ABE" w14:paraId="25831B18" w14:textId="77777777" w:rsidTr="00242CBD">
        <w:tc>
          <w:tcPr>
            <w:tcW w:w="4106" w:type="dxa"/>
          </w:tcPr>
          <w:p w14:paraId="24EFB4B7"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Imobilizado</w:t>
            </w:r>
          </w:p>
        </w:tc>
        <w:tc>
          <w:tcPr>
            <w:tcW w:w="2033" w:type="dxa"/>
          </w:tcPr>
          <w:p w14:paraId="1AF48BC0" w14:textId="68D4F8B4" w:rsidR="00CB2FF5" w:rsidRPr="00F02ABE" w:rsidRDefault="00727DE3"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342.482.046,75</w:t>
            </w:r>
          </w:p>
        </w:tc>
        <w:tc>
          <w:tcPr>
            <w:tcW w:w="2266" w:type="dxa"/>
          </w:tcPr>
          <w:p w14:paraId="32A2123A" w14:textId="4FABBA9B" w:rsidR="00CB2FF5" w:rsidRPr="00F02ABE" w:rsidRDefault="00476170"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327.756.741,83</w:t>
            </w:r>
          </w:p>
        </w:tc>
        <w:tc>
          <w:tcPr>
            <w:tcW w:w="1771" w:type="dxa"/>
          </w:tcPr>
          <w:p w14:paraId="0EA20DDF" w14:textId="67AB6DA5" w:rsidR="00CB2FF5" w:rsidRPr="00F02ABE" w:rsidRDefault="0062353D"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4,49</w:t>
            </w:r>
          </w:p>
        </w:tc>
        <w:tc>
          <w:tcPr>
            <w:tcW w:w="1549" w:type="dxa"/>
          </w:tcPr>
          <w:p w14:paraId="79FACC78" w14:textId="2C80F274" w:rsidR="00CB2FF5" w:rsidRPr="00F02ABE" w:rsidRDefault="0056038C"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85,47</w:t>
            </w:r>
          </w:p>
        </w:tc>
      </w:tr>
      <w:tr w:rsidR="00CB2FF5" w:rsidRPr="00F02ABE" w14:paraId="35E964DF" w14:textId="77777777" w:rsidTr="00242CBD">
        <w:tc>
          <w:tcPr>
            <w:tcW w:w="4106" w:type="dxa"/>
          </w:tcPr>
          <w:p w14:paraId="31B3392B"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Intangível</w:t>
            </w:r>
          </w:p>
        </w:tc>
        <w:tc>
          <w:tcPr>
            <w:tcW w:w="2033" w:type="dxa"/>
          </w:tcPr>
          <w:p w14:paraId="43A4EB1B" w14:textId="7CBED7C3" w:rsidR="00CB2FF5" w:rsidRPr="00F02ABE" w:rsidRDefault="0054768E"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960.418,78</w:t>
            </w:r>
          </w:p>
        </w:tc>
        <w:tc>
          <w:tcPr>
            <w:tcW w:w="2266" w:type="dxa"/>
          </w:tcPr>
          <w:p w14:paraId="28DC4566" w14:textId="159A7355" w:rsidR="00CB2FF5" w:rsidRPr="00F02ABE" w:rsidRDefault="00A57421"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948.378,78</w:t>
            </w:r>
          </w:p>
        </w:tc>
        <w:tc>
          <w:tcPr>
            <w:tcW w:w="1771" w:type="dxa"/>
          </w:tcPr>
          <w:p w14:paraId="255F24AF" w14:textId="12E6310B" w:rsidR="00CB2FF5" w:rsidRPr="00F02ABE" w:rsidRDefault="0056038C"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1,27</w:t>
            </w:r>
          </w:p>
        </w:tc>
        <w:tc>
          <w:tcPr>
            <w:tcW w:w="1549" w:type="dxa"/>
          </w:tcPr>
          <w:p w14:paraId="4E0F241E" w14:textId="70134F85" w:rsidR="00CB2FF5" w:rsidRPr="00F02ABE" w:rsidRDefault="0056038C"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0,24</w:t>
            </w:r>
          </w:p>
        </w:tc>
      </w:tr>
      <w:tr w:rsidR="00CB2FF5" w:rsidRPr="00F02ABE" w14:paraId="36A6667C" w14:textId="77777777" w:rsidTr="00242CBD">
        <w:tc>
          <w:tcPr>
            <w:tcW w:w="4106" w:type="dxa"/>
          </w:tcPr>
          <w:p w14:paraId="55CF8DE9"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r w:rsidRPr="00F02ABE">
              <w:rPr>
                <w:rFonts w:ascii="Times New Roman" w:hAnsi="Times New Roman"/>
                <w:b/>
                <w:sz w:val="24"/>
                <w:szCs w:val="24"/>
              </w:rPr>
              <w:t>Total do Ativo não Circulante</w:t>
            </w:r>
          </w:p>
        </w:tc>
        <w:tc>
          <w:tcPr>
            <w:tcW w:w="2033" w:type="dxa"/>
          </w:tcPr>
          <w:p w14:paraId="168407C0" w14:textId="3F7C130B" w:rsidR="00CB2FF5" w:rsidRPr="00CD4566" w:rsidRDefault="0054768E" w:rsidP="00242CBD">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343.442.465,53</w:t>
            </w:r>
          </w:p>
        </w:tc>
        <w:tc>
          <w:tcPr>
            <w:tcW w:w="2266" w:type="dxa"/>
          </w:tcPr>
          <w:p w14:paraId="622A1E00" w14:textId="4D962924" w:rsidR="00CB2FF5" w:rsidRPr="00CD4566" w:rsidRDefault="008C50C9" w:rsidP="00242CBD">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328.705.120,</w:t>
            </w:r>
            <w:r w:rsidR="00EF2F23">
              <w:rPr>
                <w:rFonts w:ascii="Times New Roman" w:hAnsi="Times New Roman"/>
                <w:b/>
                <w:bCs/>
                <w:sz w:val="24"/>
                <w:szCs w:val="24"/>
              </w:rPr>
              <w:t>61</w:t>
            </w:r>
          </w:p>
        </w:tc>
        <w:tc>
          <w:tcPr>
            <w:tcW w:w="1771" w:type="dxa"/>
          </w:tcPr>
          <w:p w14:paraId="04CDCA42" w14:textId="15161953" w:rsidR="00CB2FF5" w:rsidRPr="00CD4566" w:rsidRDefault="0056038C" w:rsidP="00242CB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4,48</w:t>
            </w:r>
          </w:p>
        </w:tc>
        <w:tc>
          <w:tcPr>
            <w:tcW w:w="1549" w:type="dxa"/>
          </w:tcPr>
          <w:p w14:paraId="65D4FACD" w14:textId="51EBC20C" w:rsidR="00CB2FF5" w:rsidRPr="00CD4566" w:rsidRDefault="00797CE9" w:rsidP="00242CBD">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85,71</w:t>
            </w:r>
          </w:p>
        </w:tc>
      </w:tr>
    </w:tbl>
    <w:p w14:paraId="28B67EFC" w14:textId="77777777" w:rsidR="00CB2FF5" w:rsidRPr="00F02ABE" w:rsidRDefault="00CB2FF5" w:rsidP="00CB2FF5">
      <w:pPr>
        <w:spacing w:after="0" w:line="240" w:lineRule="auto"/>
        <w:ind w:left="1701"/>
        <w:jc w:val="both"/>
        <w:rPr>
          <w:rFonts w:ascii="Times New Roman" w:hAnsi="Times New Roman"/>
          <w:sz w:val="24"/>
          <w:szCs w:val="24"/>
        </w:rPr>
      </w:pPr>
      <w:r w:rsidRPr="00A47223">
        <w:rPr>
          <w:rFonts w:ascii="Times New Roman" w:hAnsi="Times New Roman"/>
          <w:sz w:val="20"/>
          <w:szCs w:val="20"/>
        </w:rPr>
        <w:t>Fonte: SIAFI, 202</w:t>
      </w:r>
      <w:r>
        <w:rPr>
          <w:rFonts w:ascii="Times New Roman" w:hAnsi="Times New Roman"/>
          <w:sz w:val="20"/>
          <w:szCs w:val="20"/>
        </w:rPr>
        <w:t>4</w:t>
      </w:r>
      <w:r w:rsidRPr="00A47223">
        <w:rPr>
          <w:rFonts w:ascii="Times New Roman" w:hAnsi="Times New Roman"/>
          <w:sz w:val="20"/>
          <w:szCs w:val="20"/>
        </w:rPr>
        <w:t xml:space="preserve"> e 202</w:t>
      </w:r>
      <w:r>
        <w:rPr>
          <w:rFonts w:ascii="Times New Roman" w:hAnsi="Times New Roman"/>
          <w:sz w:val="20"/>
          <w:szCs w:val="20"/>
        </w:rPr>
        <w:t>3</w:t>
      </w:r>
      <w:r w:rsidRPr="00F02ABE">
        <w:rPr>
          <w:rFonts w:ascii="Times New Roman" w:hAnsi="Times New Roman"/>
          <w:sz w:val="24"/>
          <w:szCs w:val="24"/>
        </w:rPr>
        <w:t>.</w:t>
      </w:r>
    </w:p>
    <w:p w14:paraId="7C325E83" w14:textId="77777777" w:rsidR="00CB2FF5" w:rsidRPr="00F02ABE" w:rsidRDefault="00CB2FF5" w:rsidP="00CB2FF5">
      <w:pPr>
        <w:autoSpaceDE w:val="0"/>
        <w:autoSpaceDN w:val="0"/>
        <w:adjustRightInd w:val="0"/>
        <w:spacing w:after="0" w:line="240" w:lineRule="auto"/>
        <w:jc w:val="both"/>
        <w:rPr>
          <w:rFonts w:ascii="Times New Roman" w:hAnsi="Times New Roman"/>
          <w:b/>
          <w:sz w:val="24"/>
          <w:szCs w:val="24"/>
        </w:rPr>
      </w:pPr>
    </w:p>
    <w:p w14:paraId="3360C70B" w14:textId="77777777" w:rsidR="00CB2FF5" w:rsidRPr="00F02ABE" w:rsidRDefault="00CB2FF5" w:rsidP="00CB2FF5">
      <w:pPr>
        <w:autoSpaceDE w:val="0"/>
        <w:autoSpaceDN w:val="0"/>
        <w:adjustRightInd w:val="0"/>
        <w:spacing w:after="0" w:line="240" w:lineRule="auto"/>
        <w:jc w:val="both"/>
        <w:rPr>
          <w:rFonts w:ascii="Times New Roman" w:hAnsi="Times New Roman"/>
          <w:b/>
          <w:sz w:val="24"/>
          <w:szCs w:val="24"/>
        </w:rPr>
      </w:pPr>
      <w:r w:rsidRPr="00F02ABE">
        <w:rPr>
          <w:rFonts w:ascii="Times New Roman" w:hAnsi="Times New Roman"/>
          <w:b/>
          <w:sz w:val="24"/>
          <w:szCs w:val="24"/>
        </w:rPr>
        <w:t xml:space="preserve">                            7.2.1 imobilizado</w:t>
      </w:r>
    </w:p>
    <w:p w14:paraId="22C0C9CA" w14:textId="77777777" w:rsidR="00CB2FF5" w:rsidRPr="00F02ABE" w:rsidRDefault="00CB2FF5" w:rsidP="00CB2FF5">
      <w:pPr>
        <w:autoSpaceDE w:val="0"/>
        <w:autoSpaceDN w:val="0"/>
        <w:adjustRightInd w:val="0"/>
        <w:spacing w:after="0" w:line="240" w:lineRule="auto"/>
        <w:jc w:val="both"/>
        <w:rPr>
          <w:rFonts w:ascii="Times New Roman" w:hAnsi="Times New Roman"/>
          <w:sz w:val="24"/>
          <w:szCs w:val="24"/>
          <w:lang w:eastAsia="pt-BR"/>
        </w:rPr>
      </w:pPr>
    </w:p>
    <w:p w14:paraId="590A0739"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O imobilizado é composto pelos bens móveis e imóveis. É reconhecido inicialmente com base no valor de aquisição, construção ou produção. Após o reconhecimento inicial, ficam sujeitos a depreciação, amortização ou exaustão (quando tiverem vida útil definida), bem como redução ao valor recuperável e reavaliação.</w:t>
      </w:r>
    </w:p>
    <w:p w14:paraId="70C4026D"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w:t>
      </w:r>
    </w:p>
    <w:p w14:paraId="2A9DFEF1" w14:textId="242E1DED"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Em 3</w:t>
      </w:r>
      <w:r w:rsidR="00ED1698">
        <w:rPr>
          <w:rFonts w:ascii="Times New Roman" w:hAnsi="Times New Roman"/>
          <w:sz w:val="24"/>
          <w:szCs w:val="24"/>
          <w:lang w:eastAsia="pt-BR"/>
        </w:rPr>
        <w:t>1</w:t>
      </w:r>
      <w:r w:rsidRPr="00F02ABE">
        <w:rPr>
          <w:rFonts w:ascii="Times New Roman" w:hAnsi="Times New Roman"/>
          <w:sz w:val="24"/>
          <w:szCs w:val="24"/>
          <w:lang w:eastAsia="pt-BR"/>
        </w:rPr>
        <w:t>/</w:t>
      </w:r>
      <w:r w:rsidR="00ED1698">
        <w:rPr>
          <w:rFonts w:ascii="Times New Roman" w:hAnsi="Times New Roman"/>
          <w:sz w:val="24"/>
          <w:szCs w:val="24"/>
          <w:lang w:eastAsia="pt-BR"/>
        </w:rPr>
        <w:t>12</w:t>
      </w:r>
      <w:r w:rsidRPr="00F02ABE">
        <w:rPr>
          <w:rFonts w:ascii="Times New Roman" w:hAnsi="Times New Roman"/>
          <w:sz w:val="24"/>
          <w:szCs w:val="24"/>
          <w:lang w:eastAsia="pt-BR"/>
        </w:rPr>
        <w:t>/202</w:t>
      </w:r>
      <w:r>
        <w:rPr>
          <w:rFonts w:ascii="Times New Roman" w:hAnsi="Times New Roman"/>
          <w:sz w:val="24"/>
          <w:szCs w:val="24"/>
          <w:lang w:eastAsia="pt-BR"/>
        </w:rPr>
        <w:t>4</w:t>
      </w:r>
      <w:r w:rsidRPr="00F02ABE">
        <w:rPr>
          <w:rFonts w:ascii="Times New Roman" w:hAnsi="Times New Roman"/>
          <w:sz w:val="24"/>
          <w:szCs w:val="24"/>
          <w:lang w:eastAsia="pt-BR"/>
        </w:rPr>
        <w:t xml:space="preserve">, o Órgão IFPI 26431 apresentou um saldo de </w:t>
      </w:r>
      <w:r w:rsidRPr="00846B29">
        <w:rPr>
          <w:rFonts w:ascii="Times New Roman" w:hAnsi="Times New Roman"/>
          <w:b/>
          <w:bCs/>
          <w:sz w:val="24"/>
          <w:szCs w:val="24"/>
          <w:lang w:eastAsia="pt-BR"/>
        </w:rPr>
        <w:t xml:space="preserve">R$ </w:t>
      </w:r>
      <w:r>
        <w:rPr>
          <w:rFonts w:ascii="Times New Roman" w:hAnsi="Times New Roman"/>
          <w:b/>
          <w:bCs/>
          <w:sz w:val="24"/>
          <w:szCs w:val="24"/>
          <w:lang w:eastAsia="pt-BR"/>
        </w:rPr>
        <w:t>3</w:t>
      </w:r>
      <w:r w:rsidR="004A5E0D">
        <w:rPr>
          <w:rFonts w:ascii="Times New Roman" w:hAnsi="Times New Roman"/>
          <w:b/>
          <w:bCs/>
          <w:sz w:val="24"/>
          <w:szCs w:val="24"/>
          <w:lang w:eastAsia="pt-BR"/>
        </w:rPr>
        <w:t>4</w:t>
      </w:r>
      <w:r w:rsidR="0044500F">
        <w:rPr>
          <w:rFonts w:ascii="Times New Roman" w:hAnsi="Times New Roman"/>
          <w:b/>
          <w:bCs/>
          <w:sz w:val="24"/>
          <w:szCs w:val="24"/>
          <w:lang w:eastAsia="pt-BR"/>
        </w:rPr>
        <w:t>2</w:t>
      </w:r>
      <w:r w:rsidR="004A5E0D">
        <w:rPr>
          <w:rFonts w:ascii="Times New Roman" w:hAnsi="Times New Roman"/>
          <w:b/>
          <w:bCs/>
          <w:sz w:val="24"/>
          <w:szCs w:val="24"/>
          <w:lang w:eastAsia="pt-BR"/>
        </w:rPr>
        <w:t>.</w:t>
      </w:r>
      <w:r w:rsidR="0044500F">
        <w:rPr>
          <w:rFonts w:ascii="Times New Roman" w:hAnsi="Times New Roman"/>
          <w:b/>
          <w:bCs/>
          <w:sz w:val="24"/>
          <w:szCs w:val="24"/>
          <w:lang w:eastAsia="pt-BR"/>
        </w:rPr>
        <w:t>482.046,75</w:t>
      </w:r>
      <w:r w:rsidRPr="00F02ABE">
        <w:rPr>
          <w:rFonts w:ascii="Times New Roman" w:hAnsi="Times New Roman"/>
          <w:sz w:val="24"/>
          <w:szCs w:val="24"/>
          <w:lang w:eastAsia="pt-BR"/>
        </w:rPr>
        <w:t xml:space="preserve"> relacionados ao </w:t>
      </w:r>
      <w:r w:rsidRPr="00846B29">
        <w:rPr>
          <w:rFonts w:ascii="Times New Roman" w:hAnsi="Times New Roman"/>
          <w:b/>
          <w:bCs/>
          <w:sz w:val="24"/>
          <w:szCs w:val="24"/>
          <w:lang w:eastAsia="pt-BR"/>
        </w:rPr>
        <w:t>Imobilizado.</w:t>
      </w:r>
    </w:p>
    <w:p w14:paraId="0A4A3A65" w14:textId="77777777"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Na tabela a seguir, é apresentada a composição do Subgrupo Imobilizado, para os anos de 202</w:t>
      </w:r>
      <w:r>
        <w:rPr>
          <w:rFonts w:ascii="Times New Roman" w:hAnsi="Times New Roman"/>
          <w:sz w:val="24"/>
          <w:szCs w:val="24"/>
          <w:lang w:eastAsia="pt-BR"/>
        </w:rPr>
        <w:t>4</w:t>
      </w:r>
      <w:r w:rsidRPr="00F02ABE">
        <w:rPr>
          <w:rFonts w:ascii="Times New Roman" w:hAnsi="Times New Roman"/>
          <w:sz w:val="24"/>
          <w:szCs w:val="24"/>
          <w:lang w:eastAsia="pt-BR"/>
        </w:rPr>
        <w:t xml:space="preserve"> e 202</w:t>
      </w:r>
      <w:r>
        <w:rPr>
          <w:rFonts w:ascii="Times New Roman" w:hAnsi="Times New Roman"/>
          <w:sz w:val="24"/>
          <w:szCs w:val="24"/>
          <w:lang w:eastAsia="pt-BR"/>
        </w:rPr>
        <w:t>3</w:t>
      </w:r>
      <w:r w:rsidRPr="00F02ABE">
        <w:rPr>
          <w:rFonts w:ascii="Times New Roman" w:hAnsi="Times New Roman"/>
          <w:sz w:val="24"/>
          <w:szCs w:val="24"/>
          <w:lang w:eastAsia="pt-BR"/>
        </w:rPr>
        <w:t>. Como pode ser verificado não está havendo evolução da depreciação dos bens móveis, pois o SIADS ainda não foi implantado no IFPI.</w:t>
      </w:r>
    </w:p>
    <w:p w14:paraId="4F160671" w14:textId="77777777" w:rsidR="00CB2FF5" w:rsidRPr="00F02ABE" w:rsidRDefault="00CB2FF5" w:rsidP="00CB2FF5">
      <w:pPr>
        <w:autoSpaceDE w:val="0"/>
        <w:autoSpaceDN w:val="0"/>
        <w:adjustRightInd w:val="0"/>
        <w:spacing w:after="0" w:line="240" w:lineRule="auto"/>
        <w:ind w:left="1701"/>
        <w:rPr>
          <w:rFonts w:ascii="Times New Roman" w:hAnsi="Times New Roman"/>
          <w:sz w:val="24"/>
          <w:szCs w:val="24"/>
        </w:rPr>
      </w:pPr>
    </w:p>
    <w:p w14:paraId="4CE74E0F" w14:textId="3E55633B" w:rsidR="00F7112B" w:rsidRDefault="00CB2FF5" w:rsidP="000B6225">
      <w:pPr>
        <w:autoSpaceDE w:val="0"/>
        <w:autoSpaceDN w:val="0"/>
        <w:adjustRightInd w:val="0"/>
        <w:spacing w:after="0" w:line="240" w:lineRule="auto"/>
        <w:ind w:left="1701"/>
        <w:rPr>
          <w:rFonts w:ascii="Times New Roman" w:hAnsi="Times New Roman"/>
          <w:bCs/>
          <w:sz w:val="24"/>
          <w:szCs w:val="24"/>
        </w:rPr>
      </w:pPr>
      <w:r w:rsidRPr="00F02ABE">
        <w:rPr>
          <w:rFonts w:ascii="Times New Roman" w:hAnsi="Times New Roman"/>
          <w:b/>
          <w:sz w:val="24"/>
          <w:szCs w:val="24"/>
        </w:rPr>
        <w:t xml:space="preserve">Tabela 7 – Imobilizado </w:t>
      </w:r>
      <w:r>
        <w:rPr>
          <w:rFonts w:ascii="Times New Roman" w:hAnsi="Times New Roman"/>
          <w:b/>
          <w:sz w:val="24"/>
          <w:szCs w:val="24"/>
        </w:rPr>
        <w:t>–</w:t>
      </w:r>
      <w:r w:rsidRPr="00F02ABE">
        <w:rPr>
          <w:rFonts w:ascii="Times New Roman" w:hAnsi="Times New Roman"/>
          <w:b/>
          <w:sz w:val="24"/>
          <w:szCs w:val="24"/>
        </w:rPr>
        <w:t xml:space="preserve"> Composição</w:t>
      </w:r>
      <w:r>
        <w:rPr>
          <w:rFonts w:ascii="Times New Roman" w:hAnsi="Times New Roman"/>
          <w:b/>
          <w:sz w:val="24"/>
          <w:szCs w:val="24"/>
        </w:rPr>
        <w:t xml:space="preserve">  </w:t>
      </w:r>
    </w:p>
    <w:p w14:paraId="3729C653" w14:textId="51A89EF7" w:rsidR="00CB2FF5" w:rsidRPr="008C73DC" w:rsidRDefault="00CB2FF5" w:rsidP="000B6225">
      <w:pPr>
        <w:autoSpaceDE w:val="0"/>
        <w:autoSpaceDN w:val="0"/>
        <w:adjustRightInd w:val="0"/>
        <w:spacing w:after="0" w:line="240" w:lineRule="auto"/>
        <w:ind w:left="1701"/>
        <w:rPr>
          <w:rFonts w:ascii="Times New Roman" w:hAnsi="Times New Roman"/>
          <w:bCs/>
          <w:sz w:val="24"/>
          <w:szCs w:val="24"/>
        </w:rPr>
      </w:pPr>
      <w:r w:rsidRPr="008C73DC">
        <w:rPr>
          <w:rFonts w:ascii="Times New Roman" w:hAnsi="Times New Roman"/>
          <w:bCs/>
          <w:sz w:val="24"/>
          <w:szCs w:val="24"/>
        </w:rPr>
        <w:t xml:space="preserve">                                                                                                                                                                                                                                                                                                                                                                                                 </w:t>
      </w:r>
    </w:p>
    <w:tbl>
      <w:tblPr>
        <w:tblW w:w="12753"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127"/>
        <w:gridCol w:w="2126"/>
        <w:gridCol w:w="1134"/>
        <w:gridCol w:w="1134"/>
      </w:tblGrid>
      <w:tr w:rsidR="00CB2FF5" w:rsidRPr="00F02ABE" w14:paraId="5FD72A1D" w14:textId="77777777" w:rsidTr="00242CBD">
        <w:tc>
          <w:tcPr>
            <w:tcW w:w="6232" w:type="dxa"/>
            <w:shd w:val="clear" w:color="auto" w:fill="auto"/>
          </w:tcPr>
          <w:p w14:paraId="58AA40D5"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p>
        </w:tc>
        <w:tc>
          <w:tcPr>
            <w:tcW w:w="2127" w:type="dxa"/>
            <w:shd w:val="clear" w:color="auto" w:fill="auto"/>
          </w:tcPr>
          <w:p w14:paraId="16860DB0" w14:textId="4B86A701"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3</w:t>
            </w:r>
            <w:r w:rsidR="00B6512E">
              <w:rPr>
                <w:rFonts w:ascii="Times New Roman" w:hAnsi="Times New Roman"/>
                <w:b/>
                <w:sz w:val="24"/>
                <w:szCs w:val="24"/>
              </w:rPr>
              <w:t>1</w:t>
            </w:r>
            <w:r>
              <w:rPr>
                <w:rFonts w:ascii="Times New Roman" w:hAnsi="Times New Roman"/>
                <w:b/>
                <w:sz w:val="24"/>
                <w:szCs w:val="24"/>
              </w:rPr>
              <w:t>/</w:t>
            </w:r>
            <w:r w:rsidR="00B6512E">
              <w:rPr>
                <w:rFonts w:ascii="Times New Roman" w:hAnsi="Times New Roman"/>
                <w:b/>
                <w:sz w:val="24"/>
                <w:szCs w:val="24"/>
              </w:rPr>
              <w:t>12</w:t>
            </w:r>
            <w:r w:rsidRPr="00F02ABE">
              <w:rPr>
                <w:rFonts w:ascii="Times New Roman" w:hAnsi="Times New Roman"/>
                <w:b/>
                <w:sz w:val="24"/>
                <w:szCs w:val="24"/>
              </w:rPr>
              <w:t>/202</w:t>
            </w:r>
            <w:r>
              <w:rPr>
                <w:rFonts w:ascii="Times New Roman" w:hAnsi="Times New Roman"/>
                <w:b/>
                <w:sz w:val="24"/>
                <w:szCs w:val="24"/>
              </w:rPr>
              <w:t>4</w:t>
            </w:r>
          </w:p>
        </w:tc>
        <w:tc>
          <w:tcPr>
            <w:tcW w:w="2126" w:type="dxa"/>
          </w:tcPr>
          <w:p w14:paraId="2FC7D867"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3</w:t>
            </w:r>
            <w:r>
              <w:rPr>
                <w:rFonts w:ascii="Times New Roman" w:hAnsi="Times New Roman"/>
                <w:b/>
                <w:sz w:val="24"/>
                <w:szCs w:val="24"/>
              </w:rPr>
              <w:t>1/12</w:t>
            </w:r>
            <w:r w:rsidRPr="00F02ABE">
              <w:rPr>
                <w:rFonts w:ascii="Times New Roman" w:hAnsi="Times New Roman"/>
                <w:b/>
                <w:sz w:val="24"/>
                <w:szCs w:val="24"/>
              </w:rPr>
              <w:t>/202</w:t>
            </w:r>
            <w:r>
              <w:rPr>
                <w:rFonts w:ascii="Times New Roman" w:hAnsi="Times New Roman"/>
                <w:b/>
                <w:sz w:val="24"/>
                <w:szCs w:val="24"/>
              </w:rPr>
              <w:t>3</w:t>
            </w:r>
          </w:p>
        </w:tc>
        <w:tc>
          <w:tcPr>
            <w:tcW w:w="1134" w:type="dxa"/>
            <w:shd w:val="clear" w:color="auto" w:fill="auto"/>
          </w:tcPr>
          <w:p w14:paraId="20C5BB7D"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AH(%)</w:t>
            </w:r>
          </w:p>
        </w:tc>
        <w:tc>
          <w:tcPr>
            <w:tcW w:w="1134" w:type="dxa"/>
          </w:tcPr>
          <w:p w14:paraId="5CB67C9B"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AV(%) </w:t>
            </w:r>
          </w:p>
        </w:tc>
      </w:tr>
      <w:tr w:rsidR="00CB2FF5" w:rsidRPr="00F02ABE" w14:paraId="2DC04A64" w14:textId="77777777" w:rsidTr="00242CBD">
        <w:tc>
          <w:tcPr>
            <w:tcW w:w="6232" w:type="dxa"/>
            <w:shd w:val="clear" w:color="auto" w:fill="auto"/>
          </w:tcPr>
          <w:p w14:paraId="5C777246"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r w:rsidRPr="00F02ABE">
              <w:rPr>
                <w:rFonts w:ascii="Times New Roman" w:hAnsi="Times New Roman"/>
                <w:b/>
                <w:sz w:val="24"/>
                <w:szCs w:val="24"/>
              </w:rPr>
              <w:t>Bens Móveis</w:t>
            </w:r>
          </w:p>
        </w:tc>
        <w:tc>
          <w:tcPr>
            <w:tcW w:w="2127" w:type="dxa"/>
            <w:shd w:val="clear" w:color="auto" w:fill="auto"/>
          </w:tcPr>
          <w:p w14:paraId="6D67DC2A" w14:textId="5EB836FC" w:rsidR="00CB2FF5" w:rsidRPr="00F02ABE" w:rsidRDefault="004757AB"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123.431.076,07</w:t>
            </w:r>
          </w:p>
        </w:tc>
        <w:tc>
          <w:tcPr>
            <w:tcW w:w="2126" w:type="dxa"/>
          </w:tcPr>
          <w:p w14:paraId="4476374F"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118.938.650,94</w:t>
            </w:r>
          </w:p>
        </w:tc>
        <w:tc>
          <w:tcPr>
            <w:tcW w:w="1134" w:type="dxa"/>
            <w:shd w:val="clear" w:color="auto" w:fill="auto"/>
          </w:tcPr>
          <w:p w14:paraId="0634BBE0" w14:textId="08DA87EF" w:rsidR="00CB2FF5" w:rsidRPr="00F02ABE" w:rsidRDefault="0058629C"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3,78</w:t>
            </w:r>
          </w:p>
        </w:tc>
        <w:tc>
          <w:tcPr>
            <w:tcW w:w="1134" w:type="dxa"/>
          </w:tcPr>
          <w:p w14:paraId="3018429D" w14:textId="3CD3608F" w:rsidR="00CB2FF5" w:rsidRPr="00F02ABE" w:rsidRDefault="004644E2"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w:t>
            </w:r>
            <w:r w:rsidR="0048101E">
              <w:rPr>
                <w:rFonts w:ascii="Times New Roman" w:hAnsi="Times New Roman"/>
                <w:b/>
                <w:sz w:val="24"/>
                <w:szCs w:val="24"/>
              </w:rPr>
              <w:t>04</w:t>
            </w:r>
          </w:p>
        </w:tc>
      </w:tr>
      <w:tr w:rsidR="00CB2FF5" w:rsidRPr="00F02ABE" w14:paraId="5DFCC64A" w14:textId="77777777" w:rsidTr="00242CBD">
        <w:tc>
          <w:tcPr>
            <w:tcW w:w="6232" w:type="dxa"/>
            <w:shd w:val="clear" w:color="auto" w:fill="auto"/>
          </w:tcPr>
          <w:p w14:paraId="44F2B180"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 xml:space="preserve">   (+) Valor Bruto Contábil</w:t>
            </w:r>
          </w:p>
        </w:tc>
        <w:tc>
          <w:tcPr>
            <w:tcW w:w="2127" w:type="dxa"/>
            <w:shd w:val="clear" w:color="auto" w:fill="auto"/>
          </w:tcPr>
          <w:p w14:paraId="2D9046CE" w14:textId="123DE0F1" w:rsidR="00CB2FF5" w:rsidRPr="00F02ABE" w:rsidRDefault="004757AB"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123.477.972,23</w:t>
            </w:r>
          </w:p>
        </w:tc>
        <w:tc>
          <w:tcPr>
            <w:tcW w:w="2126" w:type="dxa"/>
          </w:tcPr>
          <w:p w14:paraId="12F9155F"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118.985.547,10</w:t>
            </w:r>
          </w:p>
        </w:tc>
        <w:tc>
          <w:tcPr>
            <w:tcW w:w="1134" w:type="dxa"/>
            <w:shd w:val="clear" w:color="auto" w:fill="auto"/>
          </w:tcPr>
          <w:p w14:paraId="78B58A64" w14:textId="6156DD77" w:rsidR="00CB2FF5" w:rsidRPr="00F02ABE" w:rsidRDefault="005B731C"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87157A">
              <w:rPr>
                <w:rFonts w:ascii="Times New Roman" w:hAnsi="Times New Roman"/>
                <w:sz w:val="24"/>
                <w:szCs w:val="24"/>
              </w:rPr>
              <w:t>78</w:t>
            </w:r>
          </w:p>
        </w:tc>
        <w:tc>
          <w:tcPr>
            <w:tcW w:w="1134" w:type="dxa"/>
          </w:tcPr>
          <w:p w14:paraId="678B16F6" w14:textId="1EF7C17D" w:rsidR="00CB2FF5" w:rsidRPr="00F02ABE" w:rsidRDefault="00635F44"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r w:rsidR="00CE6426">
              <w:rPr>
                <w:rFonts w:ascii="Times New Roman" w:hAnsi="Times New Roman"/>
                <w:sz w:val="24"/>
                <w:szCs w:val="24"/>
              </w:rPr>
              <w:t>05</w:t>
            </w:r>
          </w:p>
        </w:tc>
      </w:tr>
      <w:tr w:rsidR="00CB2FF5" w:rsidRPr="00F02ABE" w14:paraId="2BBFEDA4" w14:textId="77777777" w:rsidTr="00242CBD">
        <w:tc>
          <w:tcPr>
            <w:tcW w:w="6232" w:type="dxa"/>
            <w:shd w:val="clear" w:color="auto" w:fill="auto"/>
          </w:tcPr>
          <w:p w14:paraId="454FE670"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 xml:space="preserve">   (-) Depreciação/Amortização/Exaustão Acumulada de Bens</w:t>
            </w:r>
          </w:p>
        </w:tc>
        <w:tc>
          <w:tcPr>
            <w:tcW w:w="2127" w:type="dxa"/>
            <w:shd w:val="clear" w:color="auto" w:fill="auto"/>
          </w:tcPr>
          <w:p w14:paraId="2548438F"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(46.896,16)</w:t>
            </w:r>
          </w:p>
        </w:tc>
        <w:tc>
          <w:tcPr>
            <w:tcW w:w="2126" w:type="dxa"/>
          </w:tcPr>
          <w:p w14:paraId="60549BDD"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(46.896,16)</w:t>
            </w:r>
          </w:p>
        </w:tc>
        <w:tc>
          <w:tcPr>
            <w:tcW w:w="1134" w:type="dxa"/>
            <w:shd w:val="clear" w:color="auto" w:fill="auto"/>
          </w:tcPr>
          <w:p w14:paraId="28EC621A"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c>
          <w:tcPr>
            <w:tcW w:w="1134" w:type="dxa"/>
          </w:tcPr>
          <w:p w14:paraId="0F7C39BE"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CB2FF5" w:rsidRPr="00F02ABE" w14:paraId="66B5F6F8" w14:textId="77777777" w:rsidTr="00242CBD">
        <w:tc>
          <w:tcPr>
            <w:tcW w:w="6232" w:type="dxa"/>
            <w:shd w:val="clear" w:color="auto" w:fill="auto"/>
          </w:tcPr>
          <w:p w14:paraId="7D0C6838"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 xml:space="preserve">   (-) Redução ao Valor Recuperável de Bens Móveis</w:t>
            </w:r>
          </w:p>
        </w:tc>
        <w:tc>
          <w:tcPr>
            <w:tcW w:w="2127" w:type="dxa"/>
            <w:shd w:val="clear" w:color="auto" w:fill="auto"/>
          </w:tcPr>
          <w:p w14:paraId="60071CA9"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2126" w:type="dxa"/>
          </w:tcPr>
          <w:p w14:paraId="0BE36407"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1134" w:type="dxa"/>
            <w:shd w:val="clear" w:color="auto" w:fill="auto"/>
          </w:tcPr>
          <w:p w14:paraId="2D8111D9"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c>
          <w:tcPr>
            <w:tcW w:w="1134" w:type="dxa"/>
          </w:tcPr>
          <w:p w14:paraId="4B96793D"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CB2FF5" w:rsidRPr="00F02ABE" w14:paraId="383575AD" w14:textId="77777777" w:rsidTr="00242CBD">
        <w:tc>
          <w:tcPr>
            <w:tcW w:w="6232" w:type="dxa"/>
            <w:shd w:val="clear" w:color="auto" w:fill="auto"/>
          </w:tcPr>
          <w:p w14:paraId="6DD071D1"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r w:rsidRPr="00F02ABE">
              <w:rPr>
                <w:rFonts w:ascii="Times New Roman" w:hAnsi="Times New Roman"/>
                <w:b/>
                <w:sz w:val="24"/>
                <w:szCs w:val="24"/>
              </w:rPr>
              <w:t>Bens Imóveis</w:t>
            </w:r>
          </w:p>
        </w:tc>
        <w:tc>
          <w:tcPr>
            <w:tcW w:w="2127" w:type="dxa"/>
            <w:shd w:val="clear" w:color="auto" w:fill="auto"/>
          </w:tcPr>
          <w:p w14:paraId="70AB4414" w14:textId="33BD1524" w:rsidR="00CB2FF5" w:rsidRPr="00F02ABE" w:rsidRDefault="00CB2FF5"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2</w:t>
            </w:r>
            <w:r w:rsidR="007F2EC2">
              <w:rPr>
                <w:rFonts w:ascii="Times New Roman" w:hAnsi="Times New Roman"/>
                <w:b/>
                <w:sz w:val="24"/>
                <w:szCs w:val="24"/>
              </w:rPr>
              <w:t>1</w:t>
            </w:r>
            <w:r w:rsidR="00A54932">
              <w:rPr>
                <w:rFonts w:ascii="Times New Roman" w:hAnsi="Times New Roman"/>
                <w:b/>
                <w:sz w:val="24"/>
                <w:szCs w:val="24"/>
              </w:rPr>
              <w:t>9.050.</w:t>
            </w:r>
            <w:r w:rsidR="001273E7">
              <w:rPr>
                <w:rFonts w:ascii="Times New Roman" w:hAnsi="Times New Roman"/>
                <w:b/>
                <w:sz w:val="24"/>
                <w:szCs w:val="24"/>
              </w:rPr>
              <w:t>970,68</w:t>
            </w:r>
          </w:p>
        </w:tc>
        <w:tc>
          <w:tcPr>
            <w:tcW w:w="2126" w:type="dxa"/>
          </w:tcPr>
          <w:p w14:paraId="755F957E"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208.818.090,89</w:t>
            </w:r>
          </w:p>
        </w:tc>
        <w:tc>
          <w:tcPr>
            <w:tcW w:w="1134" w:type="dxa"/>
            <w:shd w:val="clear" w:color="auto" w:fill="auto"/>
          </w:tcPr>
          <w:p w14:paraId="6EF70811" w14:textId="20323C12" w:rsidR="00CB2FF5" w:rsidRPr="00F02ABE" w:rsidRDefault="00DA36C0"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4,90</w:t>
            </w:r>
          </w:p>
        </w:tc>
        <w:tc>
          <w:tcPr>
            <w:tcW w:w="1134" w:type="dxa"/>
          </w:tcPr>
          <w:p w14:paraId="15FD79C7" w14:textId="709273F9" w:rsidR="00CB2FF5" w:rsidRPr="00F02ABE" w:rsidRDefault="00BC0A07"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63,</w:t>
            </w:r>
            <w:r w:rsidR="00F53573">
              <w:rPr>
                <w:rFonts w:ascii="Times New Roman" w:hAnsi="Times New Roman"/>
                <w:b/>
                <w:sz w:val="24"/>
                <w:szCs w:val="24"/>
              </w:rPr>
              <w:t>95</w:t>
            </w:r>
          </w:p>
        </w:tc>
      </w:tr>
      <w:tr w:rsidR="00CB2FF5" w:rsidRPr="00F02ABE" w14:paraId="32EE5B42" w14:textId="77777777" w:rsidTr="00242CBD">
        <w:tc>
          <w:tcPr>
            <w:tcW w:w="6232" w:type="dxa"/>
            <w:shd w:val="clear" w:color="auto" w:fill="auto"/>
          </w:tcPr>
          <w:p w14:paraId="75F03208"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 xml:space="preserve">   (+) Valor Bruto Contábil</w:t>
            </w:r>
          </w:p>
        </w:tc>
        <w:tc>
          <w:tcPr>
            <w:tcW w:w="2127" w:type="dxa"/>
            <w:shd w:val="clear" w:color="auto" w:fill="auto"/>
          </w:tcPr>
          <w:p w14:paraId="1ABC41FD" w14:textId="11A9BD8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21</w:t>
            </w:r>
            <w:r w:rsidR="001273E7">
              <w:rPr>
                <w:rFonts w:ascii="Times New Roman" w:hAnsi="Times New Roman"/>
                <w:sz w:val="24"/>
                <w:szCs w:val="24"/>
              </w:rPr>
              <w:t>9.633.953,41</w:t>
            </w:r>
          </w:p>
        </w:tc>
        <w:tc>
          <w:tcPr>
            <w:tcW w:w="2126" w:type="dxa"/>
          </w:tcPr>
          <w:p w14:paraId="433C3BBC"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210.561.333,72</w:t>
            </w:r>
          </w:p>
        </w:tc>
        <w:tc>
          <w:tcPr>
            <w:tcW w:w="1134" w:type="dxa"/>
            <w:shd w:val="clear" w:color="auto" w:fill="auto"/>
          </w:tcPr>
          <w:p w14:paraId="78CC774E" w14:textId="1E374E19" w:rsidR="00CB2FF5" w:rsidRPr="00F02ABE" w:rsidRDefault="00B84AA6"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4,31</w:t>
            </w:r>
          </w:p>
        </w:tc>
        <w:tc>
          <w:tcPr>
            <w:tcW w:w="1134" w:type="dxa"/>
          </w:tcPr>
          <w:p w14:paraId="5709EDA3" w14:textId="70A37CD9" w:rsidR="00CB2FF5" w:rsidRPr="00F02ABE" w:rsidRDefault="00FA51B6"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w:t>
            </w:r>
            <w:r w:rsidR="007B72C2">
              <w:rPr>
                <w:rFonts w:ascii="Times New Roman" w:hAnsi="Times New Roman"/>
                <w:sz w:val="24"/>
                <w:szCs w:val="24"/>
              </w:rPr>
              <w:t>13</w:t>
            </w:r>
          </w:p>
        </w:tc>
      </w:tr>
      <w:tr w:rsidR="00CB2FF5" w:rsidRPr="00F02ABE" w14:paraId="20880FEF" w14:textId="77777777" w:rsidTr="00242CBD">
        <w:tc>
          <w:tcPr>
            <w:tcW w:w="6232" w:type="dxa"/>
            <w:shd w:val="clear" w:color="auto" w:fill="auto"/>
          </w:tcPr>
          <w:p w14:paraId="7D2FD308"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 xml:space="preserve">   (-) Depreciação/Amortização/Exaustão Acumulada. de Bens</w:t>
            </w:r>
          </w:p>
        </w:tc>
        <w:tc>
          <w:tcPr>
            <w:tcW w:w="2127" w:type="dxa"/>
            <w:shd w:val="clear" w:color="auto" w:fill="auto"/>
          </w:tcPr>
          <w:p w14:paraId="2EBFD4DD" w14:textId="53FE43FE"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r w:rsidR="009D7DA4">
              <w:rPr>
                <w:rFonts w:ascii="Times New Roman" w:hAnsi="Times New Roman"/>
                <w:sz w:val="24"/>
                <w:szCs w:val="24"/>
              </w:rPr>
              <w:t>582.982,73</w:t>
            </w:r>
            <w:r>
              <w:rPr>
                <w:rFonts w:ascii="Times New Roman" w:hAnsi="Times New Roman"/>
                <w:sz w:val="24"/>
                <w:szCs w:val="24"/>
              </w:rPr>
              <w:t>)</w:t>
            </w:r>
          </w:p>
        </w:tc>
        <w:tc>
          <w:tcPr>
            <w:tcW w:w="2126" w:type="dxa"/>
          </w:tcPr>
          <w:p w14:paraId="1055FEFA"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(1.743.242,83)</w:t>
            </w:r>
          </w:p>
        </w:tc>
        <w:tc>
          <w:tcPr>
            <w:tcW w:w="1134" w:type="dxa"/>
            <w:shd w:val="clear" w:color="auto" w:fill="auto"/>
          </w:tcPr>
          <w:p w14:paraId="4E236462" w14:textId="7AC64596" w:rsidR="00CB2FF5" w:rsidRPr="00F02ABE" w:rsidRDefault="00D86B03"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-66,56</w:t>
            </w:r>
          </w:p>
        </w:tc>
        <w:tc>
          <w:tcPr>
            <w:tcW w:w="1134" w:type="dxa"/>
          </w:tcPr>
          <w:p w14:paraId="3ECED9D8" w14:textId="28A50FE6" w:rsidR="00CB2FF5" w:rsidRPr="00F02ABE" w:rsidRDefault="00A74232"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r w:rsidR="00E531C4">
              <w:rPr>
                <w:rFonts w:ascii="Times New Roman" w:hAnsi="Times New Roman"/>
                <w:sz w:val="24"/>
                <w:szCs w:val="24"/>
              </w:rPr>
              <w:t>17</w:t>
            </w:r>
          </w:p>
        </w:tc>
      </w:tr>
      <w:tr w:rsidR="00CB2FF5" w:rsidRPr="00F02ABE" w14:paraId="15CDCA5F" w14:textId="77777777" w:rsidTr="00242CBD">
        <w:tc>
          <w:tcPr>
            <w:tcW w:w="6232" w:type="dxa"/>
            <w:shd w:val="clear" w:color="auto" w:fill="auto"/>
          </w:tcPr>
          <w:p w14:paraId="1ED7FCD9"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 xml:space="preserve">   (-) Redução ao Valor Recuperável de Bens Imóveis</w:t>
            </w:r>
          </w:p>
        </w:tc>
        <w:tc>
          <w:tcPr>
            <w:tcW w:w="2127" w:type="dxa"/>
            <w:shd w:val="clear" w:color="auto" w:fill="auto"/>
          </w:tcPr>
          <w:p w14:paraId="5F0BCD13"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2126" w:type="dxa"/>
          </w:tcPr>
          <w:p w14:paraId="62C72D3D"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0,00</w:t>
            </w:r>
          </w:p>
        </w:tc>
        <w:tc>
          <w:tcPr>
            <w:tcW w:w="1134" w:type="dxa"/>
            <w:shd w:val="clear" w:color="auto" w:fill="auto"/>
          </w:tcPr>
          <w:p w14:paraId="0E1F671D"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c>
          <w:tcPr>
            <w:tcW w:w="1134" w:type="dxa"/>
          </w:tcPr>
          <w:p w14:paraId="65C370DD"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CB2FF5" w:rsidRPr="00F02ABE" w14:paraId="762D79F4" w14:textId="77777777" w:rsidTr="00242CBD">
        <w:tc>
          <w:tcPr>
            <w:tcW w:w="6232" w:type="dxa"/>
            <w:shd w:val="clear" w:color="auto" w:fill="auto"/>
          </w:tcPr>
          <w:p w14:paraId="12D94A33"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r w:rsidRPr="00F02ABE">
              <w:rPr>
                <w:rFonts w:ascii="Times New Roman" w:hAnsi="Times New Roman"/>
                <w:b/>
                <w:sz w:val="24"/>
                <w:szCs w:val="24"/>
              </w:rPr>
              <w:t>Total</w:t>
            </w:r>
          </w:p>
        </w:tc>
        <w:tc>
          <w:tcPr>
            <w:tcW w:w="2127" w:type="dxa"/>
            <w:shd w:val="clear" w:color="auto" w:fill="auto"/>
          </w:tcPr>
          <w:p w14:paraId="35003608" w14:textId="3A3B29BE" w:rsidR="00CB2FF5" w:rsidRPr="00F02ABE" w:rsidRDefault="00280C6E"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34</w:t>
            </w:r>
            <w:r w:rsidR="00BD4985">
              <w:rPr>
                <w:rFonts w:ascii="Times New Roman" w:hAnsi="Times New Roman"/>
                <w:b/>
                <w:sz w:val="24"/>
                <w:szCs w:val="24"/>
              </w:rPr>
              <w:t>2</w:t>
            </w:r>
            <w:r>
              <w:rPr>
                <w:rFonts w:ascii="Times New Roman" w:hAnsi="Times New Roman"/>
                <w:b/>
                <w:sz w:val="24"/>
                <w:szCs w:val="24"/>
              </w:rPr>
              <w:t>.</w:t>
            </w:r>
            <w:r w:rsidR="00997857">
              <w:rPr>
                <w:rFonts w:ascii="Times New Roman" w:hAnsi="Times New Roman"/>
                <w:b/>
                <w:sz w:val="24"/>
                <w:szCs w:val="24"/>
              </w:rPr>
              <w:t>482.046,75</w:t>
            </w:r>
          </w:p>
        </w:tc>
        <w:tc>
          <w:tcPr>
            <w:tcW w:w="2126" w:type="dxa"/>
          </w:tcPr>
          <w:p w14:paraId="6425B0E3"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327.756.741,83</w:t>
            </w:r>
          </w:p>
        </w:tc>
        <w:tc>
          <w:tcPr>
            <w:tcW w:w="1134" w:type="dxa"/>
            <w:shd w:val="clear" w:color="auto" w:fill="auto"/>
          </w:tcPr>
          <w:p w14:paraId="14FFE875" w14:textId="7D1BCF5C" w:rsidR="00CB2FF5" w:rsidRPr="00F02ABE" w:rsidRDefault="00CB2FF5" w:rsidP="00242CBD">
            <w:pPr>
              <w:tabs>
                <w:tab w:val="left" w:pos="225"/>
                <w:tab w:val="center" w:pos="459"/>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ab/>
            </w:r>
            <w:r w:rsidR="0054433C">
              <w:rPr>
                <w:rFonts w:ascii="Times New Roman" w:hAnsi="Times New Roman"/>
                <w:b/>
                <w:sz w:val="24"/>
                <w:szCs w:val="24"/>
              </w:rPr>
              <w:t>4,49</w:t>
            </w:r>
          </w:p>
        </w:tc>
        <w:tc>
          <w:tcPr>
            <w:tcW w:w="1134" w:type="dxa"/>
          </w:tcPr>
          <w:p w14:paraId="38858AE0" w14:textId="77777777" w:rsidR="00CB2FF5" w:rsidRDefault="00CB2FF5"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100</w:t>
            </w:r>
          </w:p>
        </w:tc>
      </w:tr>
    </w:tbl>
    <w:p w14:paraId="49AC89E4" w14:textId="77777777" w:rsidR="00CB2FF5" w:rsidRPr="00A47223" w:rsidRDefault="00CB2FF5" w:rsidP="00CB2FF5">
      <w:pPr>
        <w:autoSpaceDE w:val="0"/>
        <w:autoSpaceDN w:val="0"/>
        <w:adjustRightInd w:val="0"/>
        <w:spacing w:after="0" w:line="240" w:lineRule="auto"/>
        <w:ind w:left="1701"/>
        <w:rPr>
          <w:rFonts w:ascii="Times New Roman" w:hAnsi="Times New Roman"/>
          <w:sz w:val="20"/>
          <w:szCs w:val="20"/>
        </w:rPr>
      </w:pPr>
      <w:r w:rsidRPr="00A47223">
        <w:rPr>
          <w:rFonts w:ascii="Times New Roman" w:hAnsi="Times New Roman"/>
          <w:sz w:val="20"/>
          <w:szCs w:val="20"/>
        </w:rPr>
        <w:t>Fonte: SIAFI Web, 2024 e 2023.</w:t>
      </w:r>
    </w:p>
    <w:p w14:paraId="641F516F" w14:textId="77777777" w:rsidR="00CB2FF5" w:rsidRDefault="00CB2FF5" w:rsidP="00CB2FF5">
      <w:pPr>
        <w:autoSpaceDE w:val="0"/>
        <w:autoSpaceDN w:val="0"/>
        <w:adjustRightInd w:val="0"/>
        <w:spacing w:after="0" w:line="240" w:lineRule="auto"/>
        <w:ind w:left="1701"/>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lastRenderedPageBreak/>
        <w:t xml:space="preserve">7.2.2 – Bens Móveis </w:t>
      </w:r>
    </w:p>
    <w:p w14:paraId="2083EDA9"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color w:val="000000"/>
          <w:sz w:val="24"/>
          <w:szCs w:val="24"/>
          <w:lang w:eastAsia="pt-BR"/>
        </w:rPr>
      </w:pPr>
    </w:p>
    <w:p w14:paraId="00413A2D" w14:textId="3AF3E855" w:rsidR="00CB2FF5"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Os Bens Móveis do IFPI em </w:t>
      </w:r>
      <w:r>
        <w:rPr>
          <w:rFonts w:ascii="Times New Roman" w:hAnsi="Times New Roman"/>
          <w:color w:val="000000"/>
          <w:sz w:val="24"/>
          <w:szCs w:val="24"/>
          <w:lang w:eastAsia="pt-BR"/>
        </w:rPr>
        <w:t>3</w:t>
      </w:r>
      <w:r w:rsidR="00DC7FAD">
        <w:rPr>
          <w:rFonts w:ascii="Times New Roman" w:hAnsi="Times New Roman"/>
          <w:color w:val="000000"/>
          <w:sz w:val="24"/>
          <w:szCs w:val="24"/>
          <w:lang w:eastAsia="pt-BR"/>
        </w:rPr>
        <w:t>1</w:t>
      </w:r>
      <w:r w:rsidRPr="00F02ABE">
        <w:rPr>
          <w:rFonts w:ascii="Times New Roman" w:hAnsi="Times New Roman"/>
          <w:color w:val="000000"/>
          <w:sz w:val="24"/>
          <w:szCs w:val="24"/>
          <w:lang w:eastAsia="pt-BR"/>
        </w:rPr>
        <w:t>/</w:t>
      </w:r>
      <w:r w:rsidR="00DC7FAD">
        <w:rPr>
          <w:rFonts w:ascii="Times New Roman" w:hAnsi="Times New Roman"/>
          <w:color w:val="000000"/>
          <w:sz w:val="24"/>
          <w:szCs w:val="24"/>
          <w:lang w:eastAsia="pt-BR"/>
        </w:rPr>
        <w:t>12</w:t>
      </w:r>
      <w:r w:rsidRPr="00F02ABE">
        <w:rPr>
          <w:rFonts w:ascii="Times New Roman" w:hAnsi="Times New Roman"/>
          <w:color w:val="000000"/>
          <w:sz w:val="24"/>
          <w:szCs w:val="24"/>
          <w:lang w:eastAsia="pt-BR"/>
        </w:rPr>
        <w:t>/202</w:t>
      </w:r>
      <w:r>
        <w:rPr>
          <w:rFonts w:ascii="Times New Roman" w:hAnsi="Times New Roman"/>
          <w:color w:val="000000"/>
          <w:sz w:val="24"/>
          <w:szCs w:val="24"/>
          <w:lang w:eastAsia="pt-BR"/>
        </w:rPr>
        <w:t>4</w:t>
      </w:r>
      <w:r w:rsidRPr="00F02ABE">
        <w:rPr>
          <w:rFonts w:ascii="Times New Roman" w:hAnsi="Times New Roman"/>
          <w:color w:val="000000"/>
          <w:sz w:val="24"/>
          <w:szCs w:val="24"/>
          <w:lang w:eastAsia="pt-BR"/>
        </w:rPr>
        <w:t xml:space="preserve"> totalizaram </w:t>
      </w:r>
      <w:r w:rsidRPr="00F02ABE">
        <w:rPr>
          <w:rFonts w:ascii="Times New Roman" w:hAnsi="Times New Roman"/>
          <w:b/>
          <w:color w:val="000000"/>
          <w:sz w:val="24"/>
          <w:szCs w:val="24"/>
          <w:lang w:eastAsia="pt-BR"/>
        </w:rPr>
        <w:t xml:space="preserve">R$ </w:t>
      </w:r>
      <w:r w:rsidR="00352DD8">
        <w:rPr>
          <w:rFonts w:ascii="Times New Roman" w:hAnsi="Times New Roman"/>
          <w:b/>
          <w:sz w:val="24"/>
          <w:szCs w:val="24"/>
        </w:rPr>
        <w:t>123.</w:t>
      </w:r>
      <w:r w:rsidR="00E25324">
        <w:rPr>
          <w:rFonts w:ascii="Times New Roman" w:hAnsi="Times New Roman"/>
          <w:b/>
          <w:sz w:val="24"/>
          <w:szCs w:val="24"/>
        </w:rPr>
        <w:t>477.972,23</w:t>
      </w:r>
      <w:r w:rsidRPr="00F02ABE">
        <w:rPr>
          <w:rFonts w:ascii="Times New Roman" w:hAnsi="Times New Roman"/>
          <w:color w:val="000000"/>
          <w:sz w:val="24"/>
          <w:szCs w:val="24"/>
          <w:lang w:eastAsia="pt-BR"/>
        </w:rPr>
        <w:t xml:space="preserve"> e estão distribuídos em várias contas contábeis conforme detalhado na tabela a seguir.</w:t>
      </w:r>
    </w:p>
    <w:p w14:paraId="6161724A" w14:textId="77777777" w:rsidR="00CB2FF5"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726A6596" w14:textId="77777777" w:rsidR="00CB2FF5" w:rsidRDefault="00CB2FF5" w:rsidP="00CB2FF5">
      <w:pPr>
        <w:autoSpaceDE w:val="0"/>
        <w:autoSpaceDN w:val="0"/>
        <w:adjustRightInd w:val="0"/>
        <w:spacing w:after="0" w:line="240" w:lineRule="auto"/>
        <w:ind w:left="1701"/>
        <w:rPr>
          <w:rFonts w:ascii="Times New Roman" w:hAnsi="Times New Roman"/>
          <w:b/>
          <w:bCs/>
          <w:color w:val="000000"/>
          <w:sz w:val="24"/>
          <w:szCs w:val="24"/>
          <w:lang w:eastAsia="pt-BR"/>
        </w:rPr>
      </w:pPr>
      <w:r w:rsidRPr="00F02ABE">
        <w:rPr>
          <w:rFonts w:ascii="Times New Roman" w:hAnsi="Times New Roman"/>
          <w:b/>
          <w:bCs/>
          <w:color w:val="000000"/>
          <w:sz w:val="24"/>
          <w:szCs w:val="24"/>
          <w:lang w:eastAsia="pt-BR"/>
        </w:rPr>
        <w:t xml:space="preserve">Tabela 8 – Bens Móveis </w:t>
      </w:r>
      <w:r>
        <w:rPr>
          <w:rFonts w:ascii="Times New Roman" w:hAnsi="Times New Roman"/>
          <w:b/>
          <w:bCs/>
          <w:color w:val="000000"/>
          <w:sz w:val="24"/>
          <w:szCs w:val="24"/>
          <w:lang w:eastAsia="pt-BR"/>
        </w:rPr>
        <w:t>–</w:t>
      </w:r>
      <w:r w:rsidRPr="00F02ABE">
        <w:rPr>
          <w:rFonts w:ascii="Times New Roman" w:hAnsi="Times New Roman"/>
          <w:b/>
          <w:bCs/>
          <w:color w:val="000000"/>
          <w:sz w:val="24"/>
          <w:szCs w:val="24"/>
          <w:lang w:eastAsia="pt-BR"/>
        </w:rPr>
        <w:t xml:space="preserve"> Composição</w:t>
      </w:r>
    </w:p>
    <w:p w14:paraId="76C81883" w14:textId="77777777" w:rsidR="00CB2FF5" w:rsidRPr="003F27A7" w:rsidRDefault="00CB2FF5" w:rsidP="00CB2FF5">
      <w:pPr>
        <w:autoSpaceDE w:val="0"/>
        <w:autoSpaceDN w:val="0"/>
        <w:adjustRightInd w:val="0"/>
        <w:spacing w:after="0" w:line="240" w:lineRule="auto"/>
        <w:ind w:left="1701"/>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                                                                                                                                                                   </w:t>
      </w:r>
      <w:r w:rsidRPr="003F27A7">
        <w:rPr>
          <w:rFonts w:ascii="Times New Roman" w:hAnsi="Times New Roman"/>
          <w:color w:val="000000"/>
          <w:sz w:val="24"/>
          <w:szCs w:val="24"/>
          <w:lang w:eastAsia="pt-BR"/>
        </w:rPr>
        <w:t xml:space="preserve">R$ 1,00                                                                                                                                                                                                              </w:t>
      </w:r>
    </w:p>
    <w:tbl>
      <w:tblPr>
        <w:tblW w:w="11477"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1843"/>
        <w:gridCol w:w="1843"/>
        <w:gridCol w:w="992"/>
        <w:gridCol w:w="1559"/>
      </w:tblGrid>
      <w:tr w:rsidR="00CB2FF5" w:rsidRPr="00F02ABE" w14:paraId="31ED2FA4" w14:textId="77777777" w:rsidTr="00511AD4">
        <w:tc>
          <w:tcPr>
            <w:tcW w:w="5240" w:type="dxa"/>
          </w:tcPr>
          <w:p w14:paraId="75613E84"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r w:rsidRPr="00F02ABE">
              <w:rPr>
                <w:rFonts w:ascii="Times New Roman" w:hAnsi="Times New Roman"/>
                <w:b/>
                <w:bCs/>
                <w:color w:val="000000"/>
                <w:sz w:val="24"/>
                <w:szCs w:val="24"/>
                <w:lang w:eastAsia="pt-BR"/>
              </w:rPr>
              <w:t xml:space="preserve">                                                                                                                                                                                                          </w:t>
            </w:r>
            <w:r>
              <w:rPr>
                <w:rFonts w:ascii="Times New Roman" w:hAnsi="Times New Roman"/>
                <w:b/>
                <w:bCs/>
                <w:color w:val="000000"/>
                <w:sz w:val="24"/>
                <w:szCs w:val="24"/>
                <w:lang w:eastAsia="pt-BR"/>
              </w:rPr>
              <w:t xml:space="preserve">   </w:t>
            </w:r>
          </w:p>
        </w:tc>
        <w:tc>
          <w:tcPr>
            <w:tcW w:w="1843" w:type="dxa"/>
          </w:tcPr>
          <w:p w14:paraId="2EA84192" w14:textId="5DDACF2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3</w:t>
            </w:r>
            <w:r w:rsidR="00DC7FAD">
              <w:rPr>
                <w:rFonts w:ascii="Times New Roman" w:hAnsi="Times New Roman"/>
                <w:b/>
                <w:sz w:val="24"/>
                <w:szCs w:val="24"/>
              </w:rPr>
              <w:t>1</w:t>
            </w:r>
            <w:r w:rsidRPr="00F02ABE">
              <w:rPr>
                <w:rFonts w:ascii="Times New Roman" w:hAnsi="Times New Roman"/>
                <w:b/>
                <w:sz w:val="24"/>
                <w:szCs w:val="24"/>
              </w:rPr>
              <w:t>/</w:t>
            </w:r>
            <w:r w:rsidR="00DC7FAD">
              <w:rPr>
                <w:rFonts w:ascii="Times New Roman" w:hAnsi="Times New Roman"/>
                <w:b/>
                <w:sz w:val="24"/>
                <w:szCs w:val="24"/>
              </w:rPr>
              <w:t>12</w:t>
            </w:r>
            <w:r w:rsidRPr="00F02ABE">
              <w:rPr>
                <w:rFonts w:ascii="Times New Roman" w:hAnsi="Times New Roman"/>
                <w:b/>
                <w:sz w:val="24"/>
                <w:szCs w:val="24"/>
              </w:rPr>
              <w:t>/202</w:t>
            </w:r>
            <w:r>
              <w:rPr>
                <w:rFonts w:ascii="Times New Roman" w:hAnsi="Times New Roman"/>
                <w:b/>
                <w:sz w:val="24"/>
                <w:szCs w:val="24"/>
              </w:rPr>
              <w:t>4</w:t>
            </w:r>
          </w:p>
        </w:tc>
        <w:tc>
          <w:tcPr>
            <w:tcW w:w="1843" w:type="dxa"/>
          </w:tcPr>
          <w:p w14:paraId="07E83C02"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31/12/202</w:t>
            </w:r>
            <w:r>
              <w:rPr>
                <w:rFonts w:ascii="Times New Roman" w:hAnsi="Times New Roman"/>
                <w:b/>
                <w:sz w:val="24"/>
                <w:szCs w:val="24"/>
              </w:rPr>
              <w:t>3</w:t>
            </w:r>
          </w:p>
        </w:tc>
        <w:tc>
          <w:tcPr>
            <w:tcW w:w="992" w:type="dxa"/>
          </w:tcPr>
          <w:p w14:paraId="7352D484"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AH(%)</w:t>
            </w:r>
          </w:p>
        </w:tc>
        <w:tc>
          <w:tcPr>
            <w:tcW w:w="1559" w:type="dxa"/>
          </w:tcPr>
          <w:p w14:paraId="4BAFCA35" w14:textId="0ED0CBC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AV</w:t>
            </w:r>
            <w:r w:rsidR="00511AD4">
              <w:rPr>
                <w:rFonts w:ascii="Times New Roman" w:hAnsi="Times New Roman"/>
                <w:b/>
                <w:sz w:val="24"/>
                <w:szCs w:val="24"/>
              </w:rPr>
              <w:t xml:space="preserve"> </w:t>
            </w:r>
            <w:r w:rsidRPr="00F02ABE">
              <w:rPr>
                <w:rFonts w:ascii="Times New Roman" w:hAnsi="Times New Roman"/>
                <w:b/>
                <w:sz w:val="24"/>
                <w:szCs w:val="24"/>
              </w:rPr>
              <w:t>(%)</w:t>
            </w:r>
          </w:p>
        </w:tc>
      </w:tr>
      <w:tr w:rsidR="00CB2FF5" w:rsidRPr="00F02ABE" w14:paraId="2A25C50C" w14:textId="77777777" w:rsidTr="00511AD4">
        <w:tc>
          <w:tcPr>
            <w:tcW w:w="5240" w:type="dxa"/>
          </w:tcPr>
          <w:p w14:paraId="73497EFE"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Máquinas, Aparelhos, Equipamentos e Ferramentas</w:t>
            </w:r>
          </w:p>
        </w:tc>
        <w:tc>
          <w:tcPr>
            <w:tcW w:w="1843" w:type="dxa"/>
          </w:tcPr>
          <w:p w14:paraId="6599BD00" w14:textId="3490564E" w:rsidR="00CB2FF5" w:rsidRPr="00F02ABE" w:rsidRDefault="00E25324" w:rsidP="00242CBD">
            <w:pPr>
              <w:autoSpaceDE w:val="0"/>
              <w:autoSpaceDN w:val="0"/>
              <w:adjustRightInd w:val="0"/>
              <w:spacing w:after="0" w:line="240" w:lineRule="auto"/>
              <w:jc w:val="right"/>
              <w:rPr>
                <w:rFonts w:ascii="Times New Roman" w:hAnsi="Times New Roman"/>
                <w:sz w:val="24"/>
                <w:szCs w:val="24"/>
              </w:rPr>
            </w:pPr>
            <w:r w:rsidRPr="00E25324">
              <w:rPr>
                <w:rFonts w:ascii="Times New Roman" w:hAnsi="Times New Roman"/>
                <w:sz w:val="24"/>
                <w:szCs w:val="24"/>
              </w:rPr>
              <w:t>29.458.110,33</w:t>
            </w:r>
          </w:p>
        </w:tc>
        <w:tc>
          <w:tcPr>
            <w:tcW w:w="1843" w:type="dxa"/>
          </w:tcPr>
          <w:p w14:paraId="55F48409"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sidRPr="00EF5E27">
              <w:rPr>
                <w:rFonts w:ascii="Times New Roman" w:hAnsi="Times New Roman"/>
                <w:sz w:val="24"/>
                <w:szCs w:val="24"/>
              </w:rPr>
              <w:t>2</w:t>
            </w:r>
            <w:r>
              <w:rPr>
                <w:rFonts w:ascii="Times New Roman" w:hAnsi="Times New Roman"/>
                <w:sz w:val="24"/>
                <w:szCs w:val="24"/>
              </w:rPr>
              <w:t>7.826.126,16</w:t>
            </w:r>
          </w:p>
        </w:tc>
        <w:tc>
          <w:tcPr>
            <w:tcW w:w="992" w:type="dxa"/>
          </w:tcPr>
          <w:p w14:paraId="207A41B6" w14:textId="724E876B" w:rsidR="00CB2FF5" w:rsidRPr="00F02ABE" w:rsidRDefault="000F2E06"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7575D8">
              <w:rPr>
                <w:rFonts w:ascii="Times New Roman" w:hAnsi="Times New Roman"/>
                <w:sz w:val="24"/>
                <w:szCs w:val="24"/>
              </w:rPr>
              <w:t>86</w:t>
            </w:r>
          </w:p>
        </w:tc>
        <w:tc>
          <w:tcPr>
            <w:tcW w:w="1559" w:type="dxa"/>
          </w:tcPr>
          <w:p w14:paraId="0D37A0F0" w14:textId="291B22F2" w:rsidR="00CB2FF5" w:rsidRPr="00F02ABE" w:rsidRDefault="006810C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23,87</w:t>
            </w:r>
          </w:p>
        </w:tc>
      </w:tr>
      <w:tr w:rsidR="00CB2FF5" w:rsidRPr="00F02ABE" w14:paraId="316BA744" w14:textId="77777777" w:rsidTr="00511AD4">
        <w:tc>
          <w:tcPr>
            <w:tcW w:w="5240" w:type="dxa"/>
          </w:tcPr>
          <w:p w14:paraId="06051722"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Bens de Informática</w:t>
            </w:r>
          </w:p>
        </w:tc>
        <w:tc>
          <w:tcPr>
            <w:tcW w:w="1843" w:type="dxa"/>
          </w:tcPr>
          <w:p w14:paraId="0C55288E" w14:textId="6F8D5FDE" w:rsidR="00CB2FF5" w:rsidRPr="00F02ABE" w:rsidRDefault="00E25324" w:rsidP="00242CBD">
            <w:pPr>
              <w:autoSpaceDE w:val="0"/>
              <w:autoSpaceDN w:val="0"/>
              <w:adjustRightInd w:val="0"/>
              <w:spacing w:after="0" w:line="240" w:lineRule="auto"/>
              <w:jc w:val="right"/>
              <w:rPr>
                <w:rFonts w:ascii="Times New Roman" w:hAnsi="Times New Roman"/>
                <w:sz w:val="24"/>
                <w:szCs w:val="24"/>
              </w:rPr>
            </w:pPr>
            <w:r w:rsidRPr="00E25324">
              <w:rPr>
                <w:rFonts w:ascii="Times New Roman" w:hAnsi="Times New Roman"/>
                <w:sz w:val="24"/>
                <w:szCs w:val="24"/>
              </w:rPr>
              <w:t>26.802.161,50</w:t>
            </w:r>
          </w:p>
        </w:tc>
        <w:tc>
          <w:tcPr>
            <w:tcW w:w="1843" w:type="dxa"/>
          </w:tcPr>
          <w:p w14:paraId="3A0181B7"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sidRPr="00EF5E27">
              <w:rPr>
                <w:rFonts w:ascii="Times New Roman" w:hAnsi="Times New Roman"/>
                <w:sz w:val="24"/>
                <w:szCs w:val="24"/>
              </w:rPr>
              <w:t>2</w:t>
            </w:r>
            <w:r>
              <w:rPr>
                <w:rFonts w:ascii="Times New Roman" w:hAnsi="Times New Roman"/>
                <w:sz w:val="24"/>
                <w:szCs w:val="24"/>
              </w:rPr>
              <w:t>5.630.903,83</w:t>
            </w:r>
          </w:p>
        </w:tc>
        <w:tc>
          <w:tcPr>
            <w:tcW w:w="992" w:type="dxa"/>
          </w:tcPr>
          <w:p w14:paraId="66DA10CF" w14:textId="21CC1B6F" w:rsidR="00CB2FF5" w:rsidRPr="00F02ABE" w:rsidRDefault="007575D8"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4,57</w:t>
            </w:r>
          </w:p>
        </w:tc>
        <w:tc>
          <w:tcPr>
            <w:tcW w:w="1559" w:type="dxa"/>
          </w:tcPr>
          <w:p w14:paraId="56C3D267" w14:textId="45AF2085" w:rsidR="00CB2FF5" w:rsidRPr="00F02ABE" w:rsidRDefault="006810C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21,71</w:t>
            </w:r>
          </w:p>
        </w:tc>
      </w:tr>
      <w:tr w:rsidR="00CB2FF5" w:rsidRPr="00F02ABE" w14:paraId="5EE872EE" w14:textId="77777777" w:rsidTr="00511AD4">
        <w:tc>
          <w:tcPr>
            <w:tcW w:w="5240" w:type="dxa"/>
          </w:tcPr>
          <w:p w14:paraId="09FC9A1F"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r w:rsidRPr="00F02ABE">
              <w:rPr>
                <w:rFonts w:ascii="Times New Roman" w:hAnsi="Times New Roman"/>
                <w:b/>
                <w:sz w:val="24"/>
                <w:szCs w:val="24"/>
              </w:rPr>
              <w:t xml:space="preserve">Móveis e Utensílios </w:t>
            </w:r>
          </w:p>
        </w:tc>
        <w:tc>
          <w:tcPr>
            <w:tcW w:w="1843" w:type="dxa"/>
          </w:tcPr>
          <w:p w14:paraId="3AB15680" w14:textId="1B3B4AE8" w:rsidR="00CB2FF5" w:rsidRPr="00F02ABE" w:rsidRDefault="00E25324" w:rsidP="00242CBD">
            <w:pPr>
              <w:autoSpaceDE w:val="0"/>
              <w:autoSpaceDN w:val="0"/>
              <w:adjustRightInd w:val="0"/>
              <w:spacing w:after="0" w:line="240" w:lineRule="auto"/>
              <w:jc w:val="right"/>
              <w:rPr>
                <w:rFonts w:ascii="Times New Roman" w:hAnsi="Times New Roman"/>
                <w:b/>
                <w:sz w:val="24"/>
                <w:szCs w:val="24"/>
              </w:rPr>
            </w:pPr>
            <w:r w:rsidRPr="00E25324">
              <w:rPr>
                <w:rFonts w:ascii="Times New Roman" w:hAnsi="Times New Roman"/>
                <w:b/>
                <w:sz w:val="24"/>
                <w:szCs w:val="24"/>
              </w:rPr>
              <w:t>37.934.658,17</w:t>
            </w:r>
          </w:p>
        </w:tc>
        <w:tc>
          <w:tcPr>
            <w:tcW w:w="1843" w:type="dxa"/>
          </w:tcPr>
          <w:p w14:paraId="40505207"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rPr>
            </w:pPr>
            <w:r w:rsidRPr="00EF5E27">
              <w:rPr>
                <w:rFonts w:ascii="Times New Roman" w:hAnsi="Times New Roman"/>
                <w:b/>
                <w:sz w:val="24"/>
                <w:szCs w:val="24"/>
              </w:rPr>
              <w:t>3</w:t>
            </w:r>
            <w:r>
              <w:rPr>
                <w:rFonts w:ascii="Times New Roman" w:hAnsi="Times New Roman"/>
                <w:b/>
                <w:sz w:val="24"/>
                <w:szCs w:val="24"/>
              </w:rPr>
              <w:t>7.034.227,71</w:t>
            </w:r>
          </w:p>
        </w:tc>
        <w:tc>
          <w:tcPr>
            <w:tcW w:w="992" w:type="dxa"/>
          </w:tcPr>
          <w:p w14:paraId="6467B51A" w14:textId="140E02EB" w:rsidR="00CB2FF5" w:rsidRPr="00F02ABE" w:rsidRDefault="007575D8"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2,43</w:t>
            </w:r>
          </w:p>
        </w:tc>
        <w:tc>
          <w:tcPr>
            <w:tcW w:w="1559" w:type="dxa"/>
          </w:tcPr>
          <w:p w14:paraId="799B891F" w14:textId="1C96B0A1" w:rsidR="00CB2FF5" w:rsidRPr="00F02ABE" w:rsidRDefault="003E3505"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30,73</w:t>
            </w:r>
          </w:p>
        </w:tc>
      </w:tr>
      <w:tr w:rsidR="00CB2FF5" w:rsidRPr="00F02ABE" w14:paraId="3F01EF52" w14:textId="77777777" w:rsidTr="00511AD4">
        <w:tc>
          <w:tcPr>
            <w:tcW w:w="5240" w:type="dxa"/>
          </w:tcPr>
          <w:p w14:paraId="168DFA4B"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Material Cultural, Educacional e de Comunicação</w:t>
            </w:r>
          </w:p>
        </w:tc>
        <w:tc>
          <w:tcPr>
            <w:tcW w:w="1843" w:type="dxa"/>
          </w:tcPr>
          <w:p w14:paraId="5FC7BCF3" w14:textId="5B097769" w:rsidR="00CB2FF5" w:rsidRPr="00F02ABE" w:rsidRDefault="00E25324" w:rsidP="00242CBD">
            <w:pPr>
              <w:autoSpaceDE w:val="0"/>
              <w:autoSpaceDN w:val="0"/>
              <w:adjustRightInd w:val="0"/>
              <w:spacing w:after="0" w:line="240" w:lineRule="auto"/>
              <w:jc w:val="right"/>
              <w:rPr>
                <w:rFonts w:ascii="Times New Roman" w:hAnsi="Times New Roman"/>
                <w:sz w:val="24"/>
                <w:szCs w:val="24"/>
              </w:rPr>
            </w:pPr>
            <w:r w:rsidRPr="00E25324">
              <w:rPr>
                <w:rFonts w:ascii="Times New Roman" w:hAnsi="Times New Roman"/>
                <w:sz w:val="24"/>
                <w:szCs w:val="24"/>
              </w:rPr>
              <w:t>10.999.527,85</w:t>
            </w:r>
          </w:p>
        </w:tc>
        <w:tc>
          <w:tcPr>
            <w:tcW w:w="1843" w:type="dxa"/>
          </w:tcPr>
          <w:p w14:paraId="0CA8AED7"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sidRPr="00EF5E27">
              <w:rPr>
                <w:rFonts w:ascii="Times New Roman" w:hAnsi="Times New Roman"/>
                <w:sz w:val="24"/>
                <w:szCs w:val="24"/>
              </w:rPr>
              <w:t>10.</w:t>
            </w:r>
            <w:r>
              <w:rPr>
                <w:rFonts w:ascii="Times New Roman" w:hAnsi="Times New Roman"/>
                <w:sz w:val="24"/>
                <w:szCs w:val="24"/>
              </w:rPr>
              <w:t>954.199,16</w:t>
            </w:r>
          </w:p>
        </w:tc>
        <w:tc>
          <w:tcPr>
            <w:tcW w:w="992" w:type="dxa"/>
          </w:tcPr>
          <w:p w14:paraId="3E482B8C" w14:textId="29271816" w:rsidR="00CB2FF5" w:rsidRPr="00F02ABE" w:rsidRDefault="007575D8"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0,41</w:t>
            </w:r>
          </w:p>
        </w:tc>
        <w:tc>
          <w:tcPr>
            <w:tcW w:w="1559" w:type="dxa"/>
          </w:tcPr>
          <w:p w14:paraId="71BB7199" w14:textId="11BEF904" w:rsidR="00CB2FF5" w:rsidRPr="00F02ABE" w:rsidRDefault="003E350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8,91</w:t>
            </w:r>
          </w:p>
        </w:tc>
      </w:tr>
      <w:tr w:rsidR="00CB2FF5" w:rsidRPr="00F02ABE" w14:paraId="669A840E" w14:textId="77777777" w:rsidTr="00511AD4">
        <w:tc>
          <w:tcPr>
            <w:tcW w:w="5240" w:type="dxa"/>
          </w:tcPr>
          <w:p w14:paraId="4846F6A1"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Veículos</w:t>
            </w:r>
          </w:p>
        </w:tc>
        <w:tc>
          <w:tcPr>
            <w:tcW w:w="1843" w:type="dxa"/>
          </w:tcPr>
          <w:p w14:paraId="65705028" w14:textId="0B2B55F2" w:rsidR="00CB2FF5" w:rsidRPr="00F02ABE" w:rsidRDefault="00E25324" w:rsidP="00242CBD">
            <w:pPr>
              <w:autoSpaceDE w:val="0"/>
              <w:autoSpaceDN w:val="0"/>
              <w:adjustRightInd w:val="0"/>
              <w:spacing w:after="0" w:line="240" w:lineRule="auto"/>
              <w:jc w:val="right"/>
              <w:rPr>
                <w:rFonts w:ascii="Times New Roman" w:hAnsi="Times New Roman"/>
                <w:sz w:val="24"/>
                <w:szCs w:val="24"/>
              </w:rPr>
            </w:pPr>
            <w:r w:rsidRPr="00E25324">
              <w:rPr>
                <w:rFonts w:ascii="Times New Roman" w:hAnsi="Times New Roman"/>
                <w:sz w:val="24"/>
                <w:szCs w:val="24"/>
              </w:rPr>
              <w:t>17.207.619,20</w:t>
            </w:r>
          </w:p>
        </w:tc>
        <w:tc>
          <w:tcPr>
            <w:tcW w:w="1843" w:type="dxa"/>
          </w:tcPr>
          <w:p w14:paraId="20C00E49"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sidRPr="00EF5E27">
              <w:rPr>
                <w:rFonts w:ascii="Times New Roman" w:hAnsi="Times New Roman"/>
                <w:sz w:val="24"/>
                <w:szCs w:val="24"/>
              </w:rPr>
              <w:t>17.113.164,58</w:t>
            </w:r>
          </w:p>
        </w:tc>
        <w:tc>
          <w:tcPr>
            <w:tcW w:w="992" w:type="dxa"/>
          </w:tcPr>
          <w:p w14:paraId="02F0D4C0" w14:textId="33A19DEC" w:rsidR="00CB2FF5" w:rsidRPr="00F02ABE" w:rsidRDefault="007575D8"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0,55</w:t>
            </w:r>
          </w:p>
        </w:tc>
        <w:tc>
          <w:tcPr>
            <w:tcW w:w="1559" w:type="dxa"/>
          </w:tcPr>
          <w:p w14:paraId="6C1E6F23" w14:textId="35468866" w:rsidR="00CB2FF5" w:rsidRPr="00F02ABE" w:rsidRDefault="003E350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13,94</w:t>
            </w:r>
          </w:p>
        </w:tc>
      </w:tr>
      <w:tr w:rsidR="00CB2FF5" w:rsidRPr="00F02ABE" w14:paraId="039ADAE2" w14:textId="77777777" w:rsidTr="00511AD4">
        <w:tc>
          <w:tcPr>
            <w:tcW w:w="5240" w:type="dxa"/>
          </w:tcPr>
          <w:p w14:paraId="50C9050C"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Bens Móveis em Almoxarifado</w:t>
            </w:r>
          </w:p>
        </w:tc>
        <w:tc>
          <w:tcPr>
            <w:tcW w:w="1843" w:type="dxa"/>
          </w:tcPr>
          <w:p w14:paraId="4AD36FC8" w14:textId="297EF126" w:rsidR="00CB2FF5" w:rsidRPr="00F02ABE" w:rsidRDefault="00E25324" w:rsidP="00242CBD">
            <w:pPr>
              <w:autoSpaceDE w:val="0"/>
              <w:autoSpaceDN w:val="0"/>
              <w:adjustRightInd w:val="0"/>
              <w:spacing w:after="0" w:line="240" w:lineRule="auto"/>
              <w:jc w:val="right"/>
              <w:rPr>
                <w:rFonts w:ascii="Times New Roman" w:hAnsi="Times New Roman"/>
                <w:sz w:val="24"/>
                <w:szCs w:val="24"/>
              </w:rPr>
            </w:pPr>
            <w:r w:rsidRPr="00E25324">
              <w:rPr>
                <w:rFonts w:ascii="Times New Roman" w:hAnsi="Times New Roman"/>
                <w:sz w:val="24"/>
                <w:szCs w:val="24"/>
              </w:rPr>
              <w:t>603.894,28</w:t>
            </w:r>
          </w:p>
        </w:tc>
        <w:tc>
          <w:tcPr>
            <w:tcW w:w="1843" w:type="dxa"/>
          </w:tcPr>
          <w:p w14:paraId="2C741E01"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sidRPr="00EF5E27">
              <w:rPr>
                <w:rFonts w:ascii="Times New Roman" w:hAnsi="Times New Roman"/>
                <w:sz w:val="24"/>
                <w:szCs w:val="24"/>
              </w:rPr>
              <w:t>1.102.025,50</w:t>
            </w:r>
          </w:p>
        </w:tc>
        <w:tc>
          <w:tcPr>
            <w:tcW w:w="992" w:type="dxa"/>
          </w:tcPr>
          <w:p w14:paraId="7DAFD7BD" w14:textId="5C333AD8" w:rsidR="00CB2FF5" w:rsidRPr="00F02ABE" w:rsidRDefault="00186FD6"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-45,25</w:t>
            </w:r>
          </w:p>
        </w:tc>
        <w:tc>
          <w:tcPr>
            <w:tcW w:w="1559" w:type="dxa"/>
          </w:tcPr>
          <w:p w14:paraId="5DF46385" w14:textId="73D22646" w:rsidR="00CB2FF5" w:rsidRPr="00F02ABE" w:rsidRDefault="003E350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0,49</w:t>
            </w:r>
          </w:p>
        </w:tc>
      </w:tr>
      <w:tr w:rsidR="00CB2FF5" w:rsidRPr="00F02ABE" w14:paraId="5508CC2C" w14:textId="77777777" w:rsidTr="00511AD4">
        <w:tc>
          <w:tcPr>
            <w:tcW w:w="5240" w:type="dxa"/>
          </w:tcPr>
          <w:p w14:paraId="66CBC35A"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Semoventes</w:t>
            </w:r>
          </w:p>
        </w:tc>
        <w:tc>
          <w:tcPr>
            <w:tcW w:w="1843" w:type="dxa"/>
          </w:tcPr>
          <w:p w14:paraId="321236D4"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2.150,00</w:t>
            </w:r>
          </w:p>
        </w:tc>
        <w:tc>
          <w:tcPr>
            <w:tcW w:w="1843" w:type="dxa"/>
          </w:tcPr>
          <w:p w14:paraId="7FCE2267"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sidRPr="004B161C">
              <w:rPr>
                <w:rFonts w:ascii="Times New Roman" w:hAnsi="Times New Roman"/>
                <w:sz w:val="24"/>
                <w:szCs w:val="24"/>
              </w:rPr>
              <w:t>2.150,00</w:t>
            </w:r>
          </w:p>
        </w:tc>
        <w:tc>
          <w:tcPr>
            <w:tcW w:w="992" w:type="dxa"/>
          </w:tcPr>
          <w:p w14:paraId="220ABCE2" w14:textId="14F9A178" w:rsidR="00CB2FF5" w:rsidRPr="00F02ABE" w:rsidRDefault="00186FD6"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c>
          <w:tcPr>
            <w:tcW w:w="1559" w:type="dxa"/>
          </w:tcPr>
          <w:p w14:paraId="10FD007F" w14:textId="69D29C30" w:rsidR="00CB2FF5" w:rsidRPr="00F02ABE" w:rsidRDefault="003E350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CB2FF5" w:rsidRPr="00F02ABE" w14:paraId="6797CCB6" w14:textId="77777777" w:rsidTr="00511AD4">
        <w:tc>
          <w:tcPr>
            <w:tcW w:w="5240" w:type="dxa"/>
          </w:tcPr>
          <w:p w14:paraId="4D8D8B20"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Demais Bens Móveis</w:t>
            </w:r>
          </w:p>
        </w:tc>
        <w:tc>
          <w:tcPr>
            <w:tcW w:w="1843" w:type="dxa"/>
          </w:tcPr>
          <w:p w14:paraId="4A1F2DFB" w14:textId="146F0414" w:rsidR="00CB2FF5" w:rsidRPr="00F02ABE" w:rsidRDefault="00E25324" w:rsidP="00242CBD">
            <w:pPr>
              <w:autoSpaceDE w:val="0"/>
              <w:autoSpaceDN w:val="0"/>
              <w:adjustRightInd w:val="0"/>
              <w:spacing w:after="0" w:line="240" w:lineRule="auto"/>
              <w:jc w:val="right"/>
              <w:rPr>
                <w:rFonts w:ascii="Times New Roman" w:hAnsi="Times New Roman"/>
                <w:sz w:val="24"/>
                <w:szCs w:val="24"/>
              </w:rPr>
            </w:pPr>
            <w:r w:rsidRPr="00E25324">
              <w:rPr>
                <w:rFonts w:ascii="Times New Roman" w:hAnsi="Times New Roman"/>
                <w:sz w:val="24"/>
                <w:szCs w:val="24"/>
              </w:rPr>
              <w:t>469.850,90</w:t>
            </w:r>
          </w:p>
        </w:tc>
        <w:tc>
          <w:tcPr>
            <w:tcW w:w="1843" w:type="dxa"/>
          </w:tcPr>
          <w:p w14:paraId="2933CA7B"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sidRPr="00EF5E27">
              <w:rPr>
                <w:rFonts w:ascii="Times New Roman" w:hAnsi="Times New Roman"/>
                <w:sz w:val="24"/>
                <w:szCs w:val="24"/>
              </w:rPr>
              <w:t>424.775,66</w:t>
            </w:r>
          </w:p>
        </w:tc>
        <w:tc>
          <w:tcPr>
            <w:tcW w:w="992" w:type="dxa"/>
          </w:tcPr>
          <w:p w14:paraId="42EB916C" w14:textId="14BF05C6" w:rsidR="00CB2FF5" w:rsidRPr="00F02ABE" w:rsidRDefault="00186FD6"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10,61</w:t>
            </w:r>
          </w:p>
        </w:tc>
        <w:tc>
          <w:tcPr>
            <w:tcW w:w="1559" w:type="dxa"/>
          </w:tcPr>
          <w:p w14:paraId="6236B3AD" w14:textId="12E88251" w:rsidR="00CB2FF5" w:rsidRPr="00F02ABE" w:rsidRDefault="003E350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0,38</w:t>
            </w:r>
          </w:p>
        </w:tc>
      </w:tr>
      <w:tr w:rsidR="00CB2FF5" w:rsidRPr="00F02ABE" w14:paraId="7D275C7F" w14:textId="77777777" w:rsidTr="00511AD4">
        <w:tc>
          <w:tcPr>
            <w:tcW w:w="5240" w:type="dxa"/>
          </w:tcPr>
          <w:p w14:paraId="45954C4A"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 Depreciação/ Amortização Acumulada</w:t>
            </w:r>
          </w:p>
        </w:tc>
        <w:tc>
          <w:tcPr>
            <w:tcW w:w="1843" w:type="dxa"/>
          </w:tcPr>
          <w:p w14:paraId="0B9C9B7C"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(46.896,16)</w:t>
            </w:r>
          </w:p>
        </w:tc>
        <w:tc>
          <w:tcPr>
            <w:tcW w:w="1843" w:type="dxa"/>
          </w:tcPr>
          <w:p w14:paraId="1205AD68"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w:t>
            </w:r>
            <w:r w:rsidRPr="002F7F2A">
              <w:rPr>
                <w:rFonts w:ascii="Times New Roman" w:hAnsi="Times New Roman"/>
                <w:sz w:val="24"/>
                <w:szCs w:val="24"/>
              </w:rPr>
              <w:t>46.896,16</w:t>
            </w:r>
            <w:r>
              <w:rPr>
                <w:rFonts w:ascii="Times New Roman" w:hAnsi="Times New Roman"/>
                <w:sz w:val="24"/>
                <w:szCs w:val="24"/>
              </w:rPr>
              <w:t>)</w:t>
            </w:r>
          </w:p>
        </w:tc>
        <w:tc>
          <w:tcPr>
            <w:tcW w:w="992" w:type="dxa"/>
          </w:tcPr>
          <w:p w14:paraId="7EDA1B96" w14:textId="389DA647" w:rsidR="00CB2FF5" w:rsidRPr="00F02ABE" w:rsidRDefault="006810C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c>
          <w:tcPr>
            <w:tcW w:w="1559" w:type="dxa"/>
          </w:tcPr>
          <w:p w14:paraId="10613B29" w14:textId="013B4869" w:rsidR="00CB2FF5" w:rsidRPr="00F02ABE" w:rsidRDefault="003E3505"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CB2FF5" w:rsidRPr="00F02ABE" w14:paraId="2BDCDC15" w14:textId="77777777" w:rsidTr="00511AD4">
        <w:tc>
          <w:tcPr>
            <w:tcW w:w="5240" w:type="dxa"/>
          </w:tcPr>
          <w:p w14:paraId="6A1474B6"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r w:rsidRPr="00F02ABE">
              <w:rPr>
                <w:rFonts w:ascii="Times New Roman" w:hAnsi="Times New Roman"/>
                <w:b/>
                <w:sz w:val="24"/>
                <w:szCs w:val="24"/>
              </w:rPr>
              <w:t>Total Líquido</w:t>
            </w:r>
          </w:p>
        </w:tc>
        <w:tc>
          <w:tcPr>
            <w:tcW w:w="1843" w:type="dxa"/>
          </w:tcPr>
          <w:p w14:paraId="2DCE5EA2" w14:textId="0148B83A" w:rsidR="00CB2FF5" w:rsidRPr="00F02ABE" w:rsidRDefault="00E25324" w:rsidP="00242CBD">
            <w:pPr>
              <w:autoSpaceDE w:val="0"/>
              <w:autoSpaceDN w:val="0"/>
              <w:adjustRightInd w:val="0"/>
              <w:spacing w:after="0" w:line="240" w:lineRule="auto"/>
              <w:jc w:val="right"/>
              <w:rPr>
                <w:rFonts w:ascii="Times New Roman" w:hAnsi="Times New Roman"/>
                <w:b/>
                <w:sz w:val="24"/>
                <w:szCs w:val="24"/>
              </w:rPr>
            </w:pPr>
            <w:r w:rsidRPr="00E25324">
              <w:rPr>
                <w:rFonts w:ascii="Times New Roman" w:hAnsi="Times New Roman"/>
                <w:b/>
                <w:sz w:val="24"/>
                <w:szCs w:val="24"/>
              </w:rPr>
              <w:t>123.431.076,07</w:t>
            </w:r>
          </w:p>
        </w:tc>
        <w:tc>
          <w:tcPr>
            <w:tcW w:w="1843" w:type="dxa"/>
          </w:tcPr>
          <w:p w14:paraId="611131A2"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118.938.650,94</w:t>
            </w:r>
          </w:p>
        </w:tc>
        <w:tc>
          <w:tcPr>
            <w:tcW w:w="992" w:type="dxa"/>
          </w:tcPr>
          <w:p w14:paraId="6BAA0A50" w14:textId="1FE3ABE1" w:rsidR="00CB2FF5" w:rsidRPr="00F02ABE" w:rsidRDefault="008523B0" w:rsidP="00242CBD">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r w:rsidR="006810C5">
              <w:rPr>
                <w:rFonts w:ascii="Times New Roman" w:hAnsi="Times New Roman"/>
                <w:b/>
                <w:sz w:val="24"/>
                <w:szCs w:val="24"/>
              </w:rPr>
              <w:t>38</w:t>
            </w:r>
          </w:p>
        </w:tc>
        <w:tc>
          <w:tcPr>
            <w:tcW w:w="1559" w:type="dxa"/>
          </w:tcPr>
          <w:p w14:paraId="755A7F91"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100%</w:t>
            </w:r>
          </w:p>
        </w:tc>
      </w:tr>
    </w:tbl>
    <w:p w14:paraId="52F3D597" w14:textId="77777777" w:rsidR="00CB2FF5" w:rsidRPr="00D0647F" w:rsidRDefault="00CB2FF5" w:rsidP="00CB2FF5">
      <w:pPr>
        <w:autoSpaceDE w:val="0"/>
        <w:autoSpaceDN w:val="0"/>
        <w:adjustRightInd w:val="0"/>
        <w:spacing w:after="0" w:line="240" w:lineRule="auto"/>
        <w:ind w:left="1701"/>
        <w:rPr>
          <w:rFonts w:ascii="Times New Roman" w:hAnsi="Times New Roman"/>
          <w:sz w:val="20"/>
          <w:szCs w:val="20"/>
        </w:rPr>
      </w:pPr>
      <w:r w:rsidRPr="00D0647F">
        <w:rPr>
          <w:rFonts w:ascii="Times New Roman" w:hAnsi="Times New Roman"/>
          <w:sz w:val="20"/>
          <w:szCs w:val="20"/>
        </w:rPr>
        <w:t>Fonte: SIAFI, 2024 e 2023.</w:t>
      </w:r>
    </w:p>
    <w:p w14:paraId="6F55D207" w14:textId="77777777" w:rsidR="00CB2FF5" w:rsidRPr="00F02ABE" w:rsidRDefault="00CB2FF5" w:rsidP="00CB2FF5">
      <w:pPr>
        <w:autoSpaceDE w:val="0"/>
        <w:autoSpaceDN w:val="0"/>
        <w:adjustRightInd w:val="0"/>
        <w:spacing w:after="0" w:line="240" w:lineRule="auto"/>
        <w:ind w:left="1701"/>
        <w:rPr>
          <w:rFonts w:ascii="Times New Roman" w:hAnsi="Times New Roman"/>
          <w:sz w:val="24"/>
          <w:szCs w:val="24"/>
        </w:rPr>
      </w:pPr>
    </w:p>
    <w:p w14:paraId="4A673E05" w14:textId="22102105" w:rsidR="00CB2FF5" w:rsidRDefault="00CB2FF5" w:rsidP="00CB2FF5">
      <w:pPr>
        <w:autoSpaceDE w:val="0"/>
        <w:autoSpaceDN w:val="0"/>
        <w:adjustRightInd w:val="0"/>
        <w:spacing w:after="0" w:line="240" w:lineRule="auto"/>
        <w:ind w:left="1701" w:right="253"/>
        <w:jc w:val="both"/>
        <w:rPr>
          <w:rFonts w:ascii="Times New Roman" w:hAnsi="Times New Roman"/>
          <w:sz w:val="24"/>
          <w:szCs w:val="24"/>
        </w:rPr>
      </w:pPr>
      <w:r w:rsidRPr="00F02ABE">
        <w:rPr>
          <w:rFonts w:ascii="Times New Roman" w:hAnsi="Times New Roman"/>
          <w:sz w:val="24"/>
          <w:szCs w:val="24"/>
        </w:rPr>
        <w:t>Do total líquido de Bens Móveis registrados no IFPI, 3</w:t>
      </w:r>
      <w:r w:rsidR="003E3505">
        <w:rPr>
          <w:rFonts w:ascii="Times New Roman" w:hAnsi="Times New Roman"/>
          <w:sz w:val="24"/>
          <w:szCs w:val="24"/>
        </w:rPr>
        <w:t>0,73</w:t>
      </w:r>
      <w:r w:rsidRPr="00F02ABE">
        <w:rPr>
          <w:rFonts w:ascii="Times New Roman" w:hAnsi="Times New Roman"/>
          <w:sz w:val="24"/>
          <w:szCs w:val="24"/>
        </w:rPr>
        <w:t xml:space="preserve">% referem-se a </w:t>
      </w:r>
      <w:r w:rsidRPr="001D52C7">
        <w:rPr>
          <w:rFonts w:ascii="Times New Roman" w:hAnsi="Times New Roman"/>
          <w:b/>
          <w:bCs/>
          <w:sz w:val="24"/>
          <w:szCs w:val="24"/>
        </w:rPr>
        <w:t>“Móveis e Utensílios”</w:t>
      </w:r>
      <w:r w:rsidRPr="00F02ABE">
        <w:rPr>
          <w:rFonts w:ascii="Times New Roman" w:hAnsi="Times New Roman"/>
          <w:sz w:val="24"/>
          <w:szCs w:val="24"/>
        </w:rPr>
        <w:t xml:space="preserve">. Cabe destacar que o </w:t>
      </w:r>
      <w:r w:rsidRPr="001D52C7">
        <w:rPr>
          <w:rFonts w:ascii="Times New Roman" w:hAnsi="Times New Roman"/>
          <w:b/>
          <w:bCs/>
          <w:sz w:val="24"/>
          <w:szCs w:val="24"/>
        </w:rPr>
        <w:t>“Mobiliário em Geral”</w:t>
      </w:r>
      <w:r w:rsidRPr="00F02ABE">
        <w:rPr>
          <w:rFonts w:ascii="Times New Roman" w:hAnsi="Times New Roman"/>
          <w:sz w:val="24"/>
          <w:szCs w:val="24"/>
        </w:rPr>
        <w:t xml:space="preserve"> no valor de R$ </w:t>
      </w:r>
      <w:r w:rsidRPr="00094045">
        <w:rPr>
          <w:rFonts w:ascii="Times New Roman" w:hAnsi="Times New Roman"/>
          <w:sz w:val="24"/>
          <w:szCs w:val="24"/>
        </w:rPr>
        <w:t>25.</w:t>
      </w:r>
      <w:r w:rsidR="003E3505">
        <w:rPr>
          <w:rFonts w:ascii="Times New Roman" w:hAnsi="Times New Roman"/>
          <w:sz w:val="24"/>
          <w:szCs w:val="24"/>
        </w:rPr>
        <w:t>766.207,28</w:t>
      </w:r>
      <w:r w:rsidRPr="00F02ABE">
        <w:rPr>
          <w:rFonts w:ascii="Times New Roman" w:hAnsi="Times New Roman"/>
          <w:sz w:val="24"/>
          <w:szCs w:val="24"/>
        </w:rPr>
        <w:t>, correspondem a 6</w:t>
      </w:r>
      <w:r w:rsidR="006534E0">
        <w:rPr>
          <w:rFonts w:ascii="Times New Roman" w:hAnsi="Times New Roman"/>
          <w:sz w:val="24"/>
          <w:szCs w:val="24"/>
        </w:rPr>
        <w:t>7,</w:t>
      </w:r>
      <w:r w:rsidR="003E3505">
        <w:rPr>
          <w:rFonts w:ascii="Times New Roman" w:hAnsi="Times New Roman"/>
          <w:sz w:val="24"/>
          <w:szCs w:val="24"/>
        </w:rPr>
        <w:t>92</w:t>
      </w:r>
      <w:r w:rsidRPr="00F02ABE">
        <w:rPr>
          <w:rFonts w:ascii="Times New Roman" w:hAnsi="Times New Roman"/>
          <w:sz w:val="24"/>
          <w:szCs w:val="24"/>
        </w:rPr>
        <w:t xml:space="preserve">% dos móveis e utensílios registrados. Esse volume expressivo se justifica pelo fato do IFPI possuir dentro de sua estrutura, vários campi funcionando com salas de aula, setor administrativo e laboratórios. </w:t>
      </w:r>
    </w:p>
    <w:p w14:paraId="75C319CF" w14:textId="77777777" w:rsidR="00CB2FF5" w:rsidRPr="00F02ABE" w:rsidRDefault="00CB2FF5" w:rsidP="00CB2FF5">
      <w:pPr>
        <w:autoSpaceDE w:val="0"/>
        <w:autoSpaceDN w:val="0"/>
        <w:adjustRightInd w:val="0"/>
        <w:spacing w:after="0" w:line="240" w:lineRule="auto"/>
        <w:ind w:left="1701" w:right="253"/>
        <w:jc w:val="both"/>
        <w:rPr>
          <w:rFonts w:ascii="Times New Roman" w:hAnsi="Times New Roman"/>
          <w:sz w:val="24"/>
          <w:szCs w:val="24"/>
        </w:rPr>
      </w:pPr>
      <w:r w:rsidRPr="00F02ABE">
        <w:rPr>
          <w:rFonts w:ascii="Times New Roman" w:hAnsi="Times New Roman"/>
          <w:sz w:val="24"/>
          <w:szCs w:val="24"/>
        </w:rPr>
        <w:t xml:space="preserve"> </w:t>
      </w:r>
    </w:p>
    <w:p w14:paraId="46C70BF0" w14:textId="77777777" w:rsidR="00F7112B" w:rsidRDefault="00F7112B" w:rsidP="00CB2FF5">
      <w:pPr>
        <w:autoSpaceDE w:val="0"/>
        <w:autoSpaceDN w:val="0"/>
        <w:adjustRightInd w:val="0"/>
        <w:spacing w:after="0" w:line="240" w:lineRule="auto"/>
        <w:ind w:left="1701"/>
        <w:rPr>
          <w:rFonts w:ascii="Times New Roman" w:hAnsi="Times New Roman"/>
          <w:b/>
          <w:sz w:val="24"/>
          <w:szCs w:val="24"/>
        </w:rPr>
      </w:pPr>
    </w:p>
    <w:p w14:paraId="58C20BCA" w14:textId="589AD415" w:rsidR="00CB2FF5" w:rsidRDefault="00CB2FF5" w:rsidP="00CB2FF5">
      <w:pPr>
        <w:autoSpaceDE w:val="0"/>
        <w:autoSpaceDN w:val="0"/>
        <w:adjustRightInd w:val="0"/>
        <w:spacing w:after="0" w:line="240" w:lineRule="auto"/>
        <w:ind w:left="1701"/>
        <w:rPr>
          <w:rFonts w:ascii="Times New Roman" w:hAnsi="Times New Roman"/>
          <w:b/>
          <w:sz w:val="24"/>
          <w:szCs w:val="24"/>
        </w:rPr>
      </w:pPr>
      <w:r w:rsidRPr="00F02ABE">
        <w:rPr>
          <w:rFonts w:ascii="Times New Roman" w:hAnsi="Times New Roman"/>
          <w:b/>
          <w:sz w:val="24"/>
          <w:szCs w:val="24"/>
        </w:rPr>
        <w:lastRenderedPageBreak/>
        <w:t>Tabela 9 – Móveis e Utensílios – Composição</w:t>
      </w:r>
    </w:p>
    <w:p w14:paraId="274B2C4F" w14:textId="77777777" w:rsidR="00CB2FF5" w:rsidRPr="00F02ABE" w:rsidRDefault="00CB2FF5" w:rsidP="00CB2FF5">
      <w:pPr>
        <w:autoSpaceDE w:val="0"/>
        <w:autoSpaceDN w:val="0"/>
        <w:adjustRightInd w:val="0"/>
        <w:spacing w:after="0" w:line="240" w:lineRule="auto"/>
        <w:ind w:left="1701"/>
        <w:rPr>
          <w:rFonts w:ascii="Times New Roman" w:hAnsi="Times New Roman"/>
          <w:b/>
          <w:sz w:val="24"/>
          <w:szCs w:val="24"/>
        </w:rPr>
      </w:pPr>
    </w:p>
    <w:p w14:paraId="09EFAA12" w14:textId="77777777" w:rsidR="00CB2FF5" w:rsidRPr="00F02ABE" w:rsidRDefault="00CB2FF5" w:rsidP="00CB2FF5">
      <w:pPr>
        <w:autoSpaceDE w:val="0"/>
        <w:autoSpaceDN w:val="0"/>
        <w:adjustRightInd w:val="0"/>
        <w:spacing w:after="0" w:line="240" w:lineRule="auto"/>
        <w:ind w:left="1701"/>
        <w:rPr>
          <w:rFonts w:ascii="Times New Roman" w:hAnsi="Times New Roman"/>
          <w:sz w:val="24"/>
          <w:szCs w:val="24"/>
        </w:rPr>
      </w:pPr>
      <w:r w:rsidRPr="00F02ABE">
        <w:rPr>
          <w:rFonts w:ascii="Times New Roman" w:hAnsi="Times New Roman"/>
          <w:sz w:val="24"/>
          <w:szCs w:val="24"/>
        </w:rPr>
        <w:t xml:space="preserve">                                                                                                                               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984"/>
        <w:gridCol w:w="1443"/>
      </w:tblGrid>
      <w:tr w:rsidR="00CB2FF5" w:rsidRPr="00F02ABE" w14:paraId="16EFEE30" w14:textId="77777777" w:rsidTr="00242CBD">
        <w:tc>
          <w:tcPr>
            <w:tcW w:w="5070" w:type="dxa"/>
            <w:shd w:val="clear" w:color="auto" w:fill="auto"/>
          </w:tcPr>
          <w:p w14:paraId="4A5C2012"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p>
        </w:tc>
        <w:tc>
          <w:tcPr>
            <w:tcW w:w="1984" w:type="dxa"/>
            <w:shd w:val="clear" w:color="auto" w:fill="auto"/>
          </w:tcPr>
          <w:p w14:paraId="4B4740D5" w14:textId="074BF198" w:rsidR="00CB2FF5" w:rsidRPr="00F02ABE" w:rsidRDefault="00CB2FF5" w:rsidP="00242CBD">
            <w:pPr>
              <w:autoSpaceDE w:val="0"/>
              <w:autoSpaceDN w:val="0"/>
              <w:adjustRightInd w:val="0"/>
              <w:spacing w:after="0" w:line="240" w:lineRule="auto"/>
              <w:jc w:val="right"/>
              <w:rPr>
                <w:rFonts w:ascii="Times New Roman" w:hAnsi="Times New Roman"/>
                <w:b/>
                <w:sz w:val="24"/>
                <w:szCs w:val="24"/>
              </w:rPr>
            </w:pPr>
            <w:r w:rsidRPr="00F02ABE">
              <w:rPr>
                <w:rFonts w:ascii="Times New Roman" w:hAnsi="Times New Roman"/>
                <w:b/>
                <w:sz w:val="24"/>
                <w:szCs w:val="24"/>
              </w:rPr>
              <w:t>3</w:t>
            </w:r>
            <w:r w:rsidR="00284A28">
              <w:rPr>
                <w:rFonts w:ascii="Times New Roman" w:hAnsi="Times New Roman"/>
                <w:b/>
                <w:sz w:val="24"/>
                <w:szCs w:val="24"/>
              </w:rPr>
              <w:t>1</w:t>
            </w:r>
            <w:r w:rsidRPr="00F02ABE">
              <w:rPr>
                <w:rFonts w:ascii="Times New Roman" w:hAnsi="Times New Roman"/>
                <w:b/>
                <w:sz w:val="24"/>
                <w:szCs w:val="24"/>
              </w:rPr>
              <w:t>/</w:t>
            </w:r>
            <w:r w:rsidR="00284A28">
              <w:rPr>
                <w:rFonts w:ascii="Times New Roman" w:hAnsi="Times New Roman"/>
                <w:b/>
                <w:sz w:val="24"/>
                <w:szCs w:val="24"/>
              </w:rPr>
              <w:t>12</w:t>
            </w:r>
            <w:r>
              <w:rPr>
                <w:rFonts w:ascii="Times New Roman" w:hAnsi="Times New Roman"/>
                <w:b/>
                <w:sz w:val="24"/>
                <w:szCs w:val="24"/>
              </w:rPr>
              <w:t>/</w:t>
            </w:r>
            <w:r w:rsidRPr="00F02ABE">
              <w:rPr>
                <w:rFonts w:ascii="Times New Roman" w:hAnsi="Times New Roman"/>
                <w:b/>
                <w:sz w:val="24"/>
                <w:szCs w:val="24"/>
              </w:rPr>
              <w:t>202</w:t>
            </w:r>
            <w:r>
              <w:rPr>
                <w:rFonts w:ascii="Times New Roman" w:hAnsi="Times New Roman"/>
                <w:b/>
                <w:sz w:val="24"/>
                <w:szCs w:val="24"/>
              </w:rPr>
              <w:t>4</w:t>
            </w:r>
          </w:p>
        </w:tc>
        <w:tc>
          <w:tcPr>
            <w:tcW w:w="1418" w:type="dxa"/>
            <w:shd w:val="clear" w:color="auto" w:fill="auto"/>
          </w:tcPr>
          <w:p w14:paraId="078F139C"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A</w:t>
            </w:r>
            <w:r>
              <w:rPr>
                <w:rFonts w:ascii="Times New Roman" w:hAnsi="Times New Roman"/>
                <w:b/>
                <w:sz w:val="24"/>
                <w:szCs w:val="24"/>
              </w:rPr>
              <w:t>V</w:t>
            </w:r>
            <w:r w:rsidRPr="00F02ABE">
              <w:rPr>
                <w:rFonts w:ascii="Times New Roman" w:hAnsi="Times New Roman"/>
                <w:b/>
                <w:sz w:val="24"/>
                <w:szCs w:val="24"/>
              </w:rPr>
              <w:t>(%)202</w:t>
            </w:r>
            <w:r>
              <w:rPr>
                <w:rFonts w:ascii="Times New Roman" w:hAnsi="Times New Roman"/>
                <w:b/>
                <w:sz w:val="24"/>
                <w:szCs w:val="24"/>
              </w:rPr>
              <w:t>4</w:t>
            </w:r>
          </w:p>
        </w:tc>
      </w:tr>
      <w:tr w:rsidR="00CB2FF5" w:rsidRPr="00F02ABE" w14:paraId="755B17E2" w14:textId="77777777" w:rsidTr="00242CBD">
        <w:tc>
          <w:tcPr>
            <w:tcW w:w="5070" w:type="dxa"/>
            <w:shd w:val="clear" w:color="auto" w:fill="auto"/>
          </w:tcPr>
          <w:p w14:paraId="0D9168DA"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Aparelhos e Utensílios Domésticos</w:t>
            </w:r>
          </w:p>
        </w:tc>
        <w:tc>
          <w:tcPr>
            <w:tcW w:w="1984" w:type="dxa"/>
            <w:shd w:val="clear" w:color="auto" w:fill="auto"/>
          </w:tcPr>
          <w:p w14:paraId="1E703CA1" w14:textId="6CA00BC1"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sidRPr="002F5DF0">
              <w:rPr>
                <w:rFonts w:ascii="Times New Roman" w:hAnsi="Times New Roman"/>
                <w:sz w:val="24"/>
                <w:szCs w:val="24"/>
              </w:rPr>
              <w:t>11.</w:t>
            </w:r>
            <w:r w:rsidR="005C532A">
              <w:rPr>
                <w:rFonts w:ascii="Times New Roman" w:hAnsi="Times New Roman"/>
                <w:sz w:val="24"/>
                <w:szCs w:val="24"/>
              </w:rPr>
              <w:t>9</w:t>
            </w:r>
            <w:r w:rsidR="00284A28">
              <w:rPr>
                <w:rFonts w:ascii="Times New Roman" w:hAnsi="Times New Roman"/>
                <w:sz w:val="24"/>
                <w:szCs w:val="24"/>
              </w:rPr>
              <w:t>78.610,00</w:t>
            </w:r>
          </w:p>
        </w:tc>
        <w:tc>
          <w:tcPr>
            <w:tcW w:w="1418" w:type="dxa"/>
            <w:shd w:val="clear" w:color="auto" w:fill="auto"/>
          </w:tcPr>
          <w:p w14:paraId="52D2A043" w14:textId="242A8B71" w:rsidR="00CB2FF5" w:rsidRPr="00F02ABE" w:rsidRDefault="00D326CB"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r w:rsidR="00641095">
              <w:rPr>
                <w:rFonts w:ascii="Times New Roman" w:hAnsi="Times New Roman"/>
                <w:sz w:val="24"/>
                <w:szCs w:val="24"/>
              </w:rPr>
              <w:t>58</w:t>
            </w:r>
          </w:p>
        </w:tc>
      </w:tr>
      <w:tr w:rsidR="00CB2FF5" w:rsidRPr="00F02ABE" w14:paraId="3894E631" w14:textId="77777777" w:rsidTr="00242CBD">
        <w:tc>
          <w:tcPr>
            <w:tcW w:w="5070" w:type="dxa"/>
            <w:shd w:val="clear" w:color="auto" w:fill="auto"/>
          </w:tcPr>
          <w:p w14:paraId="42B0285F"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Máquinas e Utensílios de Escritório</w:t>
            </w:r>
          </w:p>
        </w:tc>
        <w:tc>
          <w:tcPr>
            <w:tcW w:w="1984" w:type="dxa"/>
            <w:shd w:val="clear" w:color="auto" w:fill="auto"/>
          </w:tcPr>
          <w:p w14:paraId="7B09944F" w14:textId="5A69EF2F"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18</w:t>
            </w:r>
            <w:r w:rsidR="00CB33A6">
              <w:rPr>
                <w:rFonts w:ascii="Times New Roman" w:hAnsi="Times New Roman"/>
                <w:sz w:val="24"/>
                <w:szCs w:val="24"/>
              </w:rPr>
              <w:t>9.840,89</w:t>
            </w:r>
          </w:p>
        </w:tc>
        <w:tc>
          <w:tcPr>
            <w:tcW w:w="1418" w:type="dxa"/>
            <w:shd w:val="clear" w:color="auto" w:fill="auto"/>
          </w:tcPr>
          <w:p w14:paraId="398B85B3" w14:textId="48A7E17B" w:rsidR="00CB2FF5" w:rsidRPr="00F02ABE" w:rsidRDefault="00BB4BB9"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0,50</w:t>
            </w:r>
          </w:p>
        </w:tc>
      </w:tr>
      <w:tr w:rsidR="00CB2FF5" w:rsidRPr="00F02ABE" w14:paraId="10520A57" w14:textId="77777777" w:rsidTr="00242CBD">
        <w:tc>
          <w:tcPr>
            <w:tcW w:w="5070" w:type="dxa"/>
            <w:shd w:val="clear" w:color="auto" w:fill="auto"/>
          </w:tcPr>
          <w:p w14:paraId="434FA830" w14:textId="77777777" w:rsidR="00CB2FF5" w:rsidRPr="00F02ABE" w:rsidRDefault="00CB2FF5" w:rsidP="00242CBD">
            <w:pPr>
              <w:autoSpaceDE w:val="0"/>
              <w:autoSpaceDN w:val="0"/>
              <w:adjustRightInd w:val="0"/>
              <w:spacing w:after="0" w:line="240" w:lineRule="auto"/>
              <w:rPr>
                <w:rFonts w:ascii="Times New Roman" w:hAnsi="Times New Roman"/>
                <w:sz w:val="24"/>
                <w:szCs w:val="24"/>
              </w:rPr>
            </w:pPr>
            <w:r w:rsidRPr="00F02ABE">
              <w:rPr>
                <w:rFonts w:ascii="Times New Roman" w:hAnsi="Times New Roman"/>
                <w:sz w:val="24"/>
                <w:szCs w:val="24"/>
              </w:rPr>
              <w:t>Mobiliário em Geral</w:t>
            </w:r>
          </w:p>
        </w:tc>
        <w:tc>
          <w:tcPr>
            <w:tcW w:w="1984" w:type="dxa"/>
            <w:shd w:val="clear" w:color="auto" w:fill="auto"/>
          </w:tcPr>
          <w:p w14:paraId="61F410BA" w14:textId="43798015" w:rsidR="00CB2FF5" w:rsidRPr="00F02ABE" w:rsidRDefault="00CB2FF5" w:rsidP="00242CBD">
            <w:pPr>
              <w:autoSpaceDE w:val="0"/>
              <w:autoSpaceDN w:val="0"/>
              <w:adjustRightInd w:val="0"/>
              <w:spacing w:after="0" w:line="240" w:lineRule="auto"/>
              <w:jc w:val="right"/>
              <w:rPr>
                <w:rFonts w:ascii="Times New Roman" w:hAnsi="Times New Roman"/>
                <w:sz w:val="24"/>
                <w:szCs w:val="24"/>
              </w:rPr>
            </w:pPr>
            <w:r w:rsidRPr="002F5DF0">
              <w:rPr>
                <w:rFonts w:ascii="Times New Roman" w:hAnsi="Times New Roman"/>
                <w:sz w:val="24"/>
                <w:szCs w:val="24"/>
              </w:rPr>
              <w:t>25.</w:t>
            </w:r>
            <w:r w:rsidR="00284A28">
              <w:rPr>
                <w:rFonts w:ascii="Times New Roman" w:hAnsi="Times New Roman"/>
                <w:sz w:val="24"/>
                <w:szCs w:val="24"/>
              </w:rPr>
              <w:t>766.207,28</w:t>
            </w:r>
          </w:p>
        </w:tc>
        <w:tc>
          <w:tcPr>
            <w:tcW w:w="1418" w:type="dxa"/>
            <w:shd w:val="clear" w:color="auto" w:fill="auto"/>
          </w:tcPr>
          <w:p w14:paraId="6B32A0DC" w14:textId="26FCD808" w:rsidR="00CB2FF5" w:rsidRPr="00F02ABE" w:rsidRDefault="00BB4BB9" w:rsidP="00242CB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w:t>
            </w:r>
            <w:r w:rsidR="00641095">
              <w:rPr>
                <w:rFonts w:ascii="Times New Roman" w:hAnsi="Times New Roman"/>
                <w:sz w:val="24"/>
                <w:szCs w:val="24"/>
              </w:rPr>
              <w:t>92</w:t>
            </w:r>
          </w:p>
        </w:tc>
      </w:tr>
      <w:tr w:rsidR="00CB2FF5" w:rsidRPr="00F02ABE" w14:paraId="4EC06521" w14:textId="77777777" w:rsidTr="00242CBD">
        <w:tc>
          <w:tcPr>
            <w:tcW w:w="5070" w:type="dxa"/>
            <w:shd w:val="clear" w:color="auto" w:fill="auto"/>
          </w:tcPr>
          <w:p w14:paraId="36636D2B" w14:textId="77777777" w:rsidR="00CB2FF5" w:rsidRPr="00F02ABE" w:rsidRDefault="00CB2FF5" w:rsidP="00242CBD">
            <w:pPr>
              <w:autoSpaceDE w:val="0"/>
              <w:autoSpaceDN w:val="0"/>
              <w:adjustRightInd w:val="0"/>
              <w:spacing w:after="0" w:line="240" w:lineRule="auto"/>
              <w:rPr>
                <w:rFonts w:ascii="Times New Roman" w:hAnsi="Times New Roman"/>
                <w:b/>
                <w:sz w:val="24"/>
                <w:szCs w:val="24"/>
              </w:rPr>
            </w:pPr>
            <w:r w:rsidRPr="00F02ABE">
              <w:rPr>
                <w:rFonts w:ascii="Times New Roman" w:hAnsi="Times New Roman"/>
                <w:b/>
                <w:sz w:val="24"/>
                <w:szCs w:val="24"/>
              </w:rPr>
              <w:t>Total</w:t>
            </w:r>
          </w:p>
        </w:tc>
        <w:tc>
          <w:tcPr>
            <w:tcW w:w="1984" w:type="dxa"/>
            <w:shd w:val="clear" w:color="auto" w:fill="auto"/>
          </w:tcPr>
          <w:p w14:paraId="1F5FE1FD" w14:textId="0D1ACCAC" w:rsidR="00CB2FF5" w:rsidRPr="00F02ABE" w:rsidRDefault="00CB2FF5" w:rsidP="00242CBD">
            <w:pPr>
              <w:autoSpaceDE w:val="0"/>
              <w:autoSpaceDN w:val="0"/>
              <w:adjustRightInd w:val="0"/>
              <w:spacing w:after="0" w:line="240" w:lineRule="auto"/>
              <w:jc w:val="right"/>
              <w:rPr>
                <w:rFonts w:ascii="Times New Roman" w:hAnsi="Times New Roman"/>
                <w:b/>
                <w:sz w:val="24"/>
                <w:szCs w:val="24"/>
              </w:rPr>
            </w:pPr>
            <w:r w:rsidRPr="002F5DF0">
              <w:rPr>
                <w:rFonts w:ascii="Times New Roman" w:hAnsi="Times New Roman"/>
                <w:b/>
                <w:sz w:val="24"/>
                <w:szCs w:val="24"/>
              </w:rPr>
              <w:t>37.</w:t>
            </w:r>
            <w:r w:rsidR="00284A28">
              <w:rPr>
                <w:rFonts w:ascii="Times New Roman" w:hAnsi="Times New Roman"/>
                <w:b/>
                <w:sz w:val="24"/>
                <w:szCs w:val="24"/>
              </w:rPr>
              <w:t>934.658,17</w:t>
            </w:r>
          </w:p>
        </w:tc>
        <w:tc>
          <w:tcPr>
            <w:tcW w:w="1418" w:type="dxa"/>
            <w:shd w:val="clear" w:color="auto" w:fill="auto"/>
          </w:tcPr>
          <w:p w14:paraId="3C6D78CF"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rPr>
            </w:pPr>
            <w:r w:rsidRPr="00F02ABE">
              <w:rPr>
                <w:rFonts w:ascii="Times New Roman" w:hAnsi="Times New Roman"/>
                <w:b/>
                <w:sz w:val="24"/>
                <w:szCs w:val="24"/>
              </w:rPr>
              <w:t>100%</w:t>
            </w:r>
          </w:p>
        </w:tc>
      </w:tr>
    </w:tbl>
    <w:p w14:paraId="45F48B37" w14:textId="77777777" w:rsidR="00CB2FF5" w:rsidRPr="00D0647F" w:rsidRDefault="00CB2FF5" w:rsidP="00CB2FF5">
      <w:pPr>
        <w:autoSpaceDE w:val="0"/>
        <w:autoSpaceDN w:val="0"/>
        <w:adjustRightInd w:val="0"/>
        <w:spacing w:after="0" w:line="240" w:lineRule="auto"/>
        <w:ind w:left="1701"/>
        <w:rPr>
          <w:rFonts w:ascii="Times New Roman" w:hAnsi="Times New Roman"/>
          <w:sz w:val="20"/>
          <w:szCs w:val="20"/>
        </w:rPr>
      </w:pPr>
      <w:r w:rsidRPr="00D0647F">
        <w:rPr>
          <w:rFonts w:ascii="Times New Roman" w:hAnsi="Times New Roman"/>
          <w:sz w:val="20"/>
          <w:szCs w:val="20"/>
        </w:rPr>
        <w:t>Fonte: SIAFI, 2024.</w:t>
      </w:r>
    </w:p>
    <w:p w14:paraId="518D89DB" w14:textId="7F983974" w:rsidR="00CB2FF5" w:rsidRDefault="00CB2FF5" w:rsidP="00CB2FF5">
      <w:pPr>
        <w:autoSpaceDE w:val="0"/>
        <w:autoSpaceDN w:val="0"/>
        <w:adjustRightInd w:val="0"/>
        <w:spacing w:after="0" w:line="240" w:lineRule="auto"/>
        <w:ind w:left="1701"/>
        <w:rPr>
          <w:rFonts w:ascii="Times New Roman" w:hAnsi="Times New Roman"/>
          <w:sz w:val="24"/>
          <w:szCs w:val="24"/>
        </w:rPr>
      </w:pPr>
    </w:p>
    <w:p w14:paraId="3DEE7E56" w14:textId="0DD96D46" w:rsidR="00CB2FF5" w:rsidRDefault="00CB2FF5" w:rsidP="00CB2FF5">
      <w:pPr>
        <w:autoSpaceDE w:val="0"/>
        <w:autoSpaceDN w:val="0"/>
        <w:adjustRightInd w:val="0"/>
        <w:spacing w:after="0" w:line="240" w:lineRule="auto"/>
        <w:ind w:left="1701"/>
        <w:jc w:val="both"/>
        <w:rPr>
          <w:rFonts w:ascii="Times New Roman" w:hAnsi="Times New Roman"/>
          <w:b/>
          <w:sz w:val="24"/>
          <w:szCs w:val="24"/>
          <w:lang w:eastAsia="pt-BR"/>
        </w:rPr>
      </w:pPr>
      <w:r w:rsidRPr="00F02ABE">
        <w:rPr>
          <w:rFonts w:ascii="Times New Roman" w:hAnsi="Times New Roman"/>
          <w:b/>
          <w:sz w:val="24"/>
          <w:szCs w:val="24"/>
          <w:lang w:eastAsia="pt-BR"/>
        </w:rPr>
        <w:t>7.2.3 – Bens Imóveis</w:t>
      </w:r>
    </w:p>
    <w:p w14:paraId="6941C6D5" w14:textId="77777777" w:rsidR="00EB32AE" w:rsidRPr="00F02ABE" w:rsidRDefault="00EB32AE" w:rsidP="00CB2FF5">
      <w:pPr>
        <w:autoSpaceDE w:val="0"/>
        <w:autoSpaceDN w:val="0"/>
        <w:adjustRightInd w:val="0"/>
        <w:spacing w:after="0" w:line="240" w:lineRule="auto"/>
        <w:ind w:left="1701"/>
        <w:jc w:val="both"/>
        <w:rPr>
          <w:rFonts w:ascii="Times New Roman" w:hAnsi="Times New Roman"/>
          <w:b/>
          <w:sz w:val="24"/>
          <w:szCs w:val="24"/>
          <w:lang w:eastAsia="pt-BR"/>
        </w:rPr>
      </w:pPr>
    </w:p>
    <w:p w14:paraId="78490A9F" w14:textId="48358110"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Os Bens Imóveis do IFPI em 3</w:t>
      </w:r>
      <w:r w:rsidR="00EB32AE">
        <w:rPr>
          <w:rFonts w:ascii="Times New Roman" w:hAnsi="Times New Roman"/>
          <w:sz w:val="24"/>
          <w:szCs w:val="24"/>
          <w:lang w:eastAsia="pt-BR"/>
        </w:rPr>
        <w:t>1</w:t>
      </w:r>
      <w:r>
        <w:rPr>
          <w:rFonts w:ascii="Times New Roman" w:hAnsi="Times New Roman"/>
          <w:sz w:val="24"/>
          <w:szCs w:val="24"/>
          <w:lang w:eastAsia="pt-BR"/>
        </w:rPr>
        <w:t>/</w:t>
      </w:r>
      <w:r w:rsidR="00EB32AE">
        <w:rPr>
          <w:rFonts w:ascii="Times New Roman" w:hAnsi="Times New Roman"/>
          <w:sz w:val="24"/>
          <w:szCs w:val="24"/>
          <w:lang w:eastAsia="pt-BR"/>
        </w:rPr>
        <w:t>12</w:t>
      </w:r>
      <w:r w:rsidRPr="00F02ABE">
        <w:rPr>
          <w:rFonts w:ascii="Times New Roman" w:hAnsi="Times New Roman"/>
          <w:sz w:val="24"/>
          <w:szCs w:val="24"/>
          <w:lang w:eastAsia="pt-BR"/>
        </w:rPr>
        <w:t>/202</w:t>
      </w:r>
      <w:r>
        <w:rPr>
          <w:rFonts w:ascii="Times New Roman" w:hAnsi="Times New Roman"/>
          <w:sz w:val="24"/>
          <w:szCs w:val="24"/>
          <w:lang w:eastAsia="pt-BR"/>
        </w:rPr>
        <w:t>4</w:t>
      </w:r>
      <w:r w:rsidRPr="00F02ABE">
        <w:rPr>
          <w:rFonts w:ascii="Times New Roman" w:hAnsi="Times New Roman"/>
          <w:sz w:val="24"/>
          <w:szCs w:val="24"/>
          <w:lang w:eastAsia="pt-BR"/>
        </w:rPr>
        <w:t xml:space="preserve"> possuíam um valor </w:t>
      </w:r>
      <w:r w:rsidR="00AD3C1A">
        <w:rPr>
          <w:rFonts w:ascii="Times New Roman" w:hAnsi="Times New Roman"/>
          <w:sz w:val="24"/>
          <w:szCs w:val="24"/>
          <w:lang w:eastAsia="pt-BR"/>
        </w:rPr>
        <w:t>líquido</w:t>
      </w:r>
      <w:r w:rsidRPr="00F02ABE">
        <w:rPr>
          <w:rFonts w:ascii="Times New Roman" w:hAnsi="Times New Roman"/>
          <w:sz w:val="24"/>
          <w:szCs w:val="24"/>
          <w:lang w:eastAsia="pt-BR"/>
        </w:rPr>
        <w:t xml:space="preserve"> de </w:t>
      </w:r>
      <w:r w:rsidRPr="00F02ABE">
        <w:rPr>
          <w:rFonts w:ascii="Times New Roman" w:hAnsi="Times New Roman"/>
          <w:b/>
          <w:sz w:val="24"/>
          <w:szCs w:val="24"/>
          <w:lang w:eastAsia="pt-BR"/>
        </w:rPr>
        <w:t xml:space="preserve">R$ </w:t>
      </w:r>
      <w:r>
        <w:rPr>
          <w:rFonts w:ascii="Times New Roman" w:hAnsi="Times New Roman"/>
          <w:b/>
          <w:sz w:val="24"/>
          <w:szCs w:val="24"/>
          <w:lang w:eastAsia="pt-BR"/>
        </w:rPr>
        <w:t>21</w:t>
      </w:r>
      <w:r w:rsidR="00EB32AE">
        <w:rPr>
          <w:rFonts w:ascii="Times New Roman" w:hAnsi="Times New Roman"/>
          <w:b/>
          <w:sz w:val="24"/>
          <w:szCs w:val="24"/>
          <w:lang w:eastAsia="pt-BR"/>
        </w:rPr>
        <w:t>9.050.970,68</w:t>
      </w:r>
      <w:r w:rsidRPr="00F02ABE">
        <w:rPr>
          <w:rFonts w:ascii="Times New Roman" w:hAnsi="Times New Roman"/>
          <w:sz w:val="24"/>
          <w:szCs w:val="24"/>
          <w:lang w:eastAsia="pt-BR"/>
        </w:rPr>
        <w:t xml:space="preserve"> e estão distribuídos em várias contas contábeis, conforme demonstrado na tabela a seguir: </w:t>
      </w:r>
    </w:p>
    <w:p w14:paraId="3FD3A225"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lang w:eastAsia="pt-BR"/>
        </w:rPr>
      </w:pPr>
      <w:r w:rsidRPr="00F02ABE">
        <w:rPr>
          <w:rFonts w:ascii="Times New Roman" w:hAnsi="Times New Roman"/>
          <w:b/>
          <w:sz w:val="24"/>
          <w:szCs w:val="24"/>
          <w:lang w:eastAsia="pt-BR"/>
        </w:rPr>
        <w:t>Tabela 10 – Bens Imóveis – Composição</w:t>
      </w:r>
    </w:p>
    <w:p w14:paraId="3500341E"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                                                                                                                                                                     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1716"/>
        <w:gridCol w:w="1276"/>
        <w:gridCol w:w="1443"/>
      </w:tblGrid>
      <w:tr w:rsidR="00CB2FF5" w:rsidRPr="00F02ABE" w14:paraId="2997DF57" w14:textId="77777777" w:rsidTr="00242CBD">
        <w:tc>
          <w:tcPr>
            <w:tcW w:w="4503" w:type="dxa"/>
            <w:shd w:val="clear" w:color="auto" w:fill="auto"/>
          </w:tcPr>
          <w:p w14:paraId="63DC3219"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p>
        </w:tc>
        <w:tc>
          <w:tcPr>
            <w:tcW w:w="1984" w:type="dxa"/>
            <w:shd w:val="clear" w:color="auto" w:fill="auto"/>
          </w:tcPr>
          <w:p w14:paraId="117AC2B3" w14:textId="38BF4556"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3</w:t>
            </w:r>
            <w:r w:rsidR="00EB32AE">
              <w:rPr>
                <w:rFonts w:ascii="Times New Roman" w:hAnsi="Times New Roman"/>
                <w:b/>
                <w:sz w:val="24"/>
                <w:szCs w:val="24"/>
                <w:lang w:eastAsia="pt-BR"/>
              </w:rPr>
              <w:t>1</w:t>
            </w:r>
            <w:r w:rsidRPr="00F02ABE">
              <w:rPr>
                <w:rFonts w:ascii="Times New Roman" w:hAnsi="Times New Roman"/>
                <w:b/>
                <w:sz w:val="24"/>
                <w:szCs w:val="24"/>
                <w:lang w:eastAsia="pt-BR"/>
              </w:rPr>
              <w:t>/</w:t>
            </w:r>
            <w:r w:rsidR="00EB32AE">
              <w:rPr>
                <w:rFonts w:ascii="Times New Roman" w:hAnsi="Times New Roman"/>
                <w:b/>
                <w:sz w:val="24"/>
                <w:szCs w:val="24"/>
                <w:lang w:eastAsia="pt-BR"/>
              </w:rPr>
              <w:t>12</w:t>
            </w:r>
            <w:r w:rsidRPr="00F02ABE">
              <w:rPr>
                <w:rFonts w:ascii="Times New Roman" w:hAnsi="Times New Roman"/>
                <w:b/>
                <w:sz w:val="24"/>
                <w:szCs w:val="24"/>
                <w:lang w:eastAsia="pt-BR"/>
              </w:rPr>
              <w:t>/202</w:t>
            </w:r>
            <w:r>
              <w:rPr>
                <w:rFonts w:ascii="Times New Roman" w:hAnsi="Times New Roman"/>
                <w:b/>
                <w:sz w:val="24"/>
                <w:szCs w:val="24"/>
                <w:lang w:eastAsia="pt-BR"/>
              </w:rPr>
              <w:t>4</w:t>
            </w:r>
          </w:p>
        </w:tc>
        <w:tc>
          <w:tcPr>
            <w:tcW w:w="1716" w:type="dxa"/>
          </w:tcPr>
          <w:p w14:paraId="2D8C09CC"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Pr>
                <w:rFonts w:ascii="Times New Roman" w:hAnsi="Times New Roman"/>
                <w:b/>
                <w:sz w:val="24"/>
                <w:szCs w:val="24"/>
                <w:lang w:eastAsia="pt-BR"/>
              </w:rPr>
              <w:t>31/12/2023</w:t>
            </w:r>
          </w:p>
        </w:tc>
        <w:tc>
          <w:tcPr>
            <w:tcW w:w="1276" w:type="dxa"/>
            <w:shd w:val="clear" w:color="auto" w:fill="auto"/>
          </w:tcPr>
          <w:p w14:paraId="7060967F"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AH(%)</w:t>
            </w:r>
          </w:p>
        </w:tc>
        <w:tc>
          <w:tcPr>
            <w:tcW w:w="1443" w:type="dxa"/>
            <w:shd w:val="clear" w:color="auto" w:fill="auto"/>
          </w:tcPr>
          <w:p w14:paraId="447A799A"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AV(%)202</w:t>
            </w:r>
            <w:r>
              <w:rPr>
                <w:rFonts w:ascii="Times New Roman" w:hAnsi="Times New Roman"/>
                <w:b/>
                <w:sz w:val="24"/>
                <w:szCs w:val="24"/>
                <w:lang w:eastAsia="pt-BR"/>
              </w:rPr>
              <w:t>4</w:t>
            </w:r>
          </w:p>
        </w:tc>
      </w:tr>
      <w:tr w:rsidR="00CB2FF5" w:rsidRPr="00F02ABE" w14:paraId="612ACA8D" w14:textId="77777777" w:rsidTr="00242CBD">
        <w:tc>
          <w:tcPr>
            <w:tcW w:w="4503" w:type="dxa"/>
            <w:shd w:val="clear" w:color="auto" w:fill="auto"/>
          </w:tcPr>
          <w:p w14:paraId="425FD0A4"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Bens de Uso Especial</w:t>
            </w:r>
          </w:p>
        </w:tc>
        <w:tc>
          <w:tcPr>
            <w:tcW w:w="1984" w:type="dxa"/>
            <w:shd w:val="clear" w:color="auto" w:fill="auto"/>
          </w:tcPr>
          <w:p w14:paraId="70D3FAB8" w14:textId="53423C5A" w:rsidR="00CB2FF5" w:rsidRPr="00F02ABE" w:rsidRDefault="00EB32AE"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214.713.377,56</w:t>
            </w:r>
          </w:p>
        </w:tc>
        <w:tc>
          <w:tcPr>
            <w:tcW w:w="1716" w:type="dxa"/>
          </w:tcPr>
          <w:p w14:paraId="0F464834"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sidRPr="00D609EA">
              <w:rPr>
                <w:rFonts w:ascii="Times New Roman" w:hAnsi="Times New Roman"/>
                <w:sz w:val="24"/>
                <w:szCs w:val="24"/>
                <w:lang w:eastAsia="pt-BR"/>
              </w:rPr>
              <w:t>205.</w:t>
            </w:r>
            <w:r>
              <w:rPr>
                <w:rFonts w:ascii="Times New Roman" w:hAnsi="Times New Roman"/>
                <w:sz w:val="24"/>
                <w:szCs w:val="24"/>
                <w:lang w:eastAsia="pt-BR"/>
              </w:rPr>
              <w:t>358.986,64</w:t>
            </w:r>
          </w:p>
        </w:tc>
        <w:tc>
          <w:tcPr>
            <w:tcW w:w="1276" w:type="dxa"/>
            <w:shd w:val="clear" w:color="auto" w:fill="auto"/>
          </w:tcPr>
          <w:p w14:paraId="164CA0F9" w14:textId="696F2655" w:rsidR="00CB2FF5" w:rsidRPr="00F02ABE" w:rsidRDefault="001F3532"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4,56</w:t>
            </w:r>
          </w:p>
        </w:tc>
        <w:tc>
          <w:tcPr>
            <w:tcW w:w="1443" w:type="dxa"/>
            <w:shd w:val="clear" w:color="auto" w:fill="auto"/>
          </w:tcPr>
          <w:p w14:paraId="14C83F22" w14:textId="1E0A9C58"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98,</w:t>
            </w:r>
            <w:r w:rsidR="009770BF">
              <w:rPr>
                <w:rFonts w:ascii="Times New Roman" w:hAnsi="Times New Roman"/>
                <w:sz w:val="24"/>
                <w:szCs w:val="24"/>
                <w:lang w:eastAsia="pt-BR"/>
              </w:rPr>
              <w:t>02</w:t>
            </w:r>
          </w:p>
        </w:tc>
      </w:tr>
      <w:tr w:rsidR="00CB2FF5" w:rsidRPr="00F02ABE" w14:paraId="7F2C1418" w14:textId="77777777" w:rsidTr="00242CBD">
        <w:tc>
          <w:tcPr>
            <w:tcW w:w="4503" w:type="dxa"/>
            <w:shd w:val="clear" w:color="auto" w:fill="auto"/>
          </w:tcPr>
          <w:p w14:paraId="41A95CD6" w14:textId="77777777" w:rsidR="00CB2FF5" w:rsidRPr="00FE7767" w:rsidRDefault="00CB2FF5" w:rsidP="00242CBD">
            <w:pPr>
              <w:autoSpaceDE w:val="0"/>
              <w:autoSpaceDN w:val="0"/>
              <w:adjustRightInd w:val="0"/>
              <w:spacing w:after="0" w:line="240" w:lineRule="auto"/>
              <w:jc w:val="both"/>
              <w:rPr>
                <w:rFonts w:ascii="Times New Roman" w:hAnsi="Times New Roman"/>
                <w:bCs/>
                <w:sz w:val="24"/>
                <w:szCs w:val="24"/>
                <w:lang w:eastAsia="pt-BR"/>
              </w:rPr>
            </w:pPr>
            <w:r w:rsidRPr="00FE7767">
              <w:rPr>
                <w:rFonts w:ascii="Times New Roman" w:hAnsi="Times New Roman"/>
                <w:bCs/>
                <w:sz w:val="24"/>
                <w:szCs w:val="24"/>
                <w:lang w:eastAsia="pt-BR"/>
              </w:rPr>
              <w:t>Bens Imóveis em Andamento</w:t>
            </w:r>
          </w:p>
        </w:tc>
        <w:tc>
          <w:tcPr>
            <w:tcW w:w="1984" w:type="dxa"/>
            <w:shd w:val="clear" w:color="auto" w:fill="auto"/>
          </w:tcPr>
          <w:p w14:paraId="195B60E0" w14:textId="611D54BA" w:rsidR="00CB2FF5" w:rsidRPr="00FE7767" w:rsidRDefault="00EB32AE" w:rsidP="00242CBD">
            <w:pPr>
              <w:autoSpaceDE w:val="0"/>
              <w:autoSpaceDN w:val="0"/>
              <w:adjustRightInd w:val="0"/>
              <w:spacing w:after="0" w:line="240" w:lineRule="auto"/>
              <w:jc w:val="right"/>
              <w:rPr>
                <w:rFonts w:ascii="Times New Roman" w:hAnsi="Times New Roman"/>
                <w:bCs/>
                <w:sz w:val="24"/>
                <w:szCs w:val="24"/>
                <w:lang w:eastAsia="pt-BR"/>
              </w:rPr>
            </w:pPr>
            <w:r>
              <w:rPr>
                <w:rFonts w:ascii="Times New Roman" w:hAnsi="Times New Roman"/>
                <w:bCs/>
                <w:sz w:val="24"/>
                <w:szCs w:val="24"/>
                <w:lang w:eastAsia="pt-BR"/>
              </w:rPr>
              <w:t>4.620.575,85</w:t>
            </w:r>
          </w:p>
        </w:tc>
        <w:tc>
          <w:tcPr>
            <w:tcW w:w="1716" w:type="dxa"/>
          </w:tcPr>
          <w:p w14:paraId="61A030C3" w14:textId="77777777" w:rsidR="00CB2FF5" w:rsidRPr="00FE7767" w:rsidRDefault="00CB2FF5" w:rsidP="00242CBD">
            <w:pPr>
              <w:autoSpaceDE w:val="0"/>
              <w:autoSpaceDN w:val="0"/>
              <w:adjustRightInd w:val="0"/>
              <w:spacing w:after="0" w:line="240" w:lineRule="auto"/>
              <w:jc w:val="right"/>
              <w:rPr>
                <w:rFonts w:ascii="Times New Roman" w:hAnsi="Times New Roman"/>
                <w:bCs/>
                <w:sz w:val="24"/>
                <w:szCs w:val="24"/>
                <w:lang w:eastAsia="pt-BR"/>
              </w:rPr>
            </w:pPr>
            <w:r w:rsidRPr="00D609EA">
              <w:rPr>
                <w:rFonts w:ascii="Times New Roman" w:hAnsi="Times New Roman"/>
                <w:bCs/>
                <w:sz w:val="24"/>
                <w:szCs w:val="24"/>
                <w:lang w:eastAsia="pt-BR"/>
              </w:rPr>
              <w:t>1.</w:t>
            </w:r>
            <w:r>
              <w:rPr>
                <w:rFonts w:ascii="Times New Roman" w:hAnsi="Times New Roman"/>
                <w:bCs/>
                <w:sz w:val="24"/>
                <w:szCs w:val="24"/>
                <w:lang w:eastAsia="pt-BR"/>
              </w:rPr>
              <w:t>943.232,00</w:t>
            </w:r>
          </w:p>
        </w:tc>
        <w:tc>
          <w:tcPr>
            <w:tcW w:w="1276" w:type="dxa"/>
            <w:shd w:val="clear" w:color="auto" w:fill="auto"/>
          </w:tcPr>
          <w:p w14:paraId="597B9C4E" w14:textId="299D615C" w:rsidR="00CB2FF5" w:rsidRPr="00FE7767" w:rsidRDefault="001F3532" w:rsidP="00242CBD">
            <w:pPr>
              <w:autoSpaceDE w:val="0"/>
              <w:autoSpaceDN w:val="0"/>
              <w:adjustRightInd w:val="0"/>
              <w:spacing w:after="0" w:line="240" w:lineRule="auto"/>
              <w:jc w:val="center"/>
              <w:rPr>
                <w:rFonts w:ascii="Times New Roman" w:hAnsi="Times New Roman"/>
                <w:bCs/>
                <w:sz w:val="24"/>
                <w:szCs w:val="24"/>
                <w:lang w:eastAsia="pt-BR"/>
              </w:rPr>
            </w:pPr>
            <w:r>
              <w:rPr>
                <w:rFonts w:ascii="Times New Roman" w:hAnsi="Times New Roman"/>
                <w:bCs/>
                <w:sz w:val="24"/>
                <w:szCs w:val="24"/>
                <w:lang w:eastAsia="pt-BR"/>
              </w:rPr>
              <w:t>137,78</w:t>
            </w:r>
          </w:p>
        </w:tc>
        <w:tc>
          <w:tcPr>
            <w:tcW w:w="1443" w:type="dxa"/>
            <w:shd w:val="clear" w:color="auto" w:fill="auto"/>
          </w:tcPr>
          <w:p w14:paraId="762832A6" w14:textId="0577419C" w:rsidR="00CB2FF5" w:rsidRPr="00FE7767" w:rsidRDefault="009770BF" w:rsidP="00242CBD">
            <w:pPr>
              <w:autoSpaceDE w:val="0"/>
              <w:autoSpaceDN w:val="0"/>
              <w:adjustRightInd w:val="0"/>
              <w:spacing w:after="0" w:line="240" w:lineRule="auto"/>
              <w:jc w:val="center"/>
              <w:rPr>
                <w:rFonts w:ascii="Times New Roman" w:hAnsi="Times New Roman"/>
                <w:bCs/>
                <w:sz w:val="24"/>
                <w:szCs w:val="24"/>
                <w:lang w:eastAsia="pt-BR"/>
              </w:rPr>
            </w:pPr>
            <w:r>
              <w:rPr>
                <w:rFonts w:ascii="Times New Roman" w:hAnsi="Times New Roman"/>
                <w:bCs/>
                <w:sz w:val="24"/>
                <w:szCs w:val="24"/>
                <w:lang w:eastAsia="pt-BR"/>
              </w:rPr>
              <w:t>2,11</w:t>
            </w:r>
          </w:p>
        </w:tc>
      </w:tr>
      <w:tr w:rsidR="00CB2FF5" w:rsidRPr="00F02ABE" w14:paraId="469ADCFD" w14:textId="77777777" w:rsidTr="00242CBD">
        <w:tc>
          <w:tcPr>
            <w:tcW w:w="4503" w:type="dxa"/>
            <w:shd w:val="clear" w:color="auto" w:fill="auto"/>
          </w:tcPr>
          <w:p w14:paraId="590BDE6B"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Instalações</w:t>
            </w:r>
          </w:p>
        </w:tc>
        <w:tc>
          <w:tcPr>
            <w:tcW w:w="1984" w:type="dxa"/>
            <w:shd w:val="clear" w:color="auto" w:fill="auto"/>
          </w:tcPr>
          <w:p w14:paraId="376098E5"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0,00</w:t>
            </w:r>
          </w:p>
        </w:tc>
        <w:tc>
          <w:tcPr>
            <w:tcW w:w="1716" w:type="dxa"/>
          </w:tcPr>
          <w:p w14:paraId="0FD663DC"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sidRPr="00D609EA">
              <w:rPr>
                <w:rFonts w:ascii="Times New Roman" w:hAnsi="Times New Roman"/>
                <w:sz w:val="24"/>
                <w:szCs w:val="24"/>
                <w:lang w:eastAsia="pt-BR"/>
              </w:rPr>
              <w:t>2.959.115,08</w:t>
            </w:r>
          </w:p>
        </w:tc>
        <w:tc>
          <w:tcPr>
            <w:tcW w:w="1276" w:type="dxa"/>
            <w:shd w:val="clear" w:color="auto" w:fill="auto"/>
          </w:tcPr>
          <w:p w14:paraId="2EC19A28" w14:textId="55F5E707" w:rsidR="00CB2FF5" w:rsidRPr="00F02ABE" w:rsidRDefault="001F3532"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0,00</w:t>
            </w:r>
          </w:p>
        </w:tc>
        <w:tc>
          <w:tcPr>
            <w:tcW w:w="1443" w:type="dxa"/>
            <w:shd w:val="clear" w:color="auto" w:fill="auto"/>
          </w:tcPr>
          <w:p w14:paraId="5443C2F4"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0,00</w:t>
            </w:r>
          </w:p>
        </w:tc>
      </w:tr>
      <w:tr w:rsidR="00CB2FF5" w:rsidRPr="00F02ABE" w14:paraId="0E6338D1" w14:textId="77777777" w:rsidTr="00242CBD">
        <w:tc>
          <w:tcPr>
            <w:tcW w:w="4503" w:type="dxa"/>
            <w:shd w:val="clear" w:color="auto" w:fill="auto"/>
          </w:tcPr>
          <w:p w14:paraId="3E1CA14A"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rPr>
              <w:t>Benfeitorias em Propriedades de Terceiros</w:t>
            </w:r>
          </w:p>
        </w:tc>
        <w:tc>
          <w:tcPr>
            <w:tcW w:w="1984" w:type="dxa"/>
            <w:shd w:val="clear" w:color="auto" w:fill="auto"/>
          </w:tcPr>
          <w:p w14:paraId="6B646361"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300.000,00</w:t>
            </w:r>
          </w:p>
        </w:tc>
        <w:tc>
          <w:tcPr>
            <w:tcW w:w="1716" w:type="dxa"/>
          </w:tcPr>
          <w:p w14:paraId="054575BB"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300.000,00</w:t>
            </w:r>
          </w:p>
        </w:tc>
        <w:tc>
          <w:tcPr>
            <w:tcW w:w="1276" w:type="dxa"/>
            <w:shd w:val="clear" w:color="auto" w:fill="auto"/>
          </w:tcPr>
          <w:p w14:paraId="54C23337" w14:textId="15798082" w:rsidR="00CB2FF5" w:rsidRPr="00F02ABE" w:rsidRDefault="001F3532"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0,00</w:t>
            </w:r>
          </w:p>
        </w:tc>
        <w:tc>
          <w:tcPr>
            <w:tcW w:w="1443" w:type="dxa"/>
            <w:shd w:val="clear" w:color="auto" w:fill="auto"/>
          </w:tcPr>
          <w:p w14:paraId="3933AC3B"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0,14</w:t>
            </w:r>
          </w:p>
        </w:tc>
      </w:tr>
      <w:tr w:rsidR="00CB2FF5" w:rsidRPr="00F02ABE" w14:paraId="0024EBDF" w14:textId="77777777" w:rsidTr="00242CBD">
        <w:tc>
          <w:tcPr>
            <w:tcW w:w="4503" w:type="dxa"/>
            <w:shd w:val="clear" w:color="auto" w:fill="auto"/>
          </w:tcPr>
          <w:p w14:paraId="0F875430"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Demais Bens Imóveis</w:t>
            </w:r>
          </w:p>
        </w:tc>
        <w:tc>
          <w:tcPr>
            <w:tcW w:w="1984" w:type="dxa"/>
            <w:shd w:val="clear" w:color="auto" w:fill="auto"/>
          </w:tcPr>
          <w:p w14:paraId="55B579FF"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0,00</w:t>
            </w:r>
          </w:p>
        </w:tc>
        <w:tc>
          <w:tcPr>
            <w:tcW w:w="1716" w:type="dxa"/>
          </w:tcPr>
          <w:p w14:paraId="2E160D32"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0,00</w:t>
            </w:r>
          </w:p>
        </w:tc>
        <w:tc>
          <w:tcPr>
            <w:tcW w:w="1276" w:type="dxa"/>
            <w:shd w:val="clear" w:color="auto" w:fill="auto"/>
          </w:tcPr>
          <w:p w14:paraId="1F04FDAD" w14:textId="53F71402" w:rsidR="00CB2FF5" w:rsidRPr="00F02ABE" w:rsidRDefault="001F3532"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0,00</w:t>
            </w:r>
          </w:p>
        </w:tc>
        <w:tc>
          <w:tcPr>
            <w:tcW w:w="1443" w:type="dxa"/>
            <w:shd w:val="clear" w:color="auto" w:fill="auto"/>
          </w:tcPr>
          <w:p w14:paraId="1D848667"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0,00</w:t>
            </w:r>
          </w:p>
        </w:tc>
      </w:tr>
      <w:tr w:rsidR="00CB2FF5" w:rsidRPr="00F02ABE" w14:paraId="2A88DD25" w14:textId="77777777" w:rsidTr="00242CBD">
        <w:tc>
          <w:tcPr>
            <w:tcW w:w="4503" w:type="dxa"/>
            <w:shd w:val="clear" w:color="auto" w:fill="auto"/>
          </w:tcPr>
          <w:p w14:paraId="2379844F"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Bens Uso Especial Não Registrados</w:t>
            </w:r>
          </w:p>
        </w:tc>
        <w:tc>
          <w:tcPr>
            <w:tcW w:w="1984" w:type="dxa"/>
            <w:shd w:val="clear" w:color="auto" w:fill="auto"/>
          </w:tcPr>
          <w:p w14:paraId="07D58A52"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0,00</w:t>
            </w:r>
          </w:p>
        </w:tc>
        <w:tc>
          <w:tcPr>
            <w:tcW w:w="1716" w:type="dxa"/>
          </w:tcPr>
          <w:p w14:paraId="26280F75"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0,00</w:t>
            </w:r>
          </w:p>
        </w:tc>
        <w:tc>
          <w:tcPr>
            <w:tcW w:w="1276" w:type="dxa"/>
            <w:shd w:val="clear" w:color="auto" w:fill="auto"/>
          </w:tcPr>
          <w:p w14:paraId="69E5C0A9" w14:textId="0EFB1553" w:rsidR="00CB2FF5" w:rsidRPr="00F02ABE" w:rsidRDefault="001F3532"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0,00</w:t>
            </w:r>
          </w:p>
        </w:tc>
        <w:tc>
          <w:tcPr>
            <w:tcW w:w="1443" w:type="dxa"/>
            <w:shd w:val="clear" w:color="auto" w:fill="auto"/>
          </w:tcPr>
          <w:p w14:paraId="2E1D0656"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sidRPr="00F02ABE">
              <w:rPr>
                <w:rFonts w:ascii="Times New Roman" w:hAnsi="Times New Roman"/>
                <w:sz w:val="24"/>
                <w:szCs w:val="24"/>
                <w:lang w:eastAsia="pt-BR"/>
              </w:rPr>
              <w:t>0,00</w:t>
            </w:r>
          </w:p>
        </w:tc>
      </w:tr>
      <w:tr w:rsidR="00CB2FF5" w:rsidRPr="00F02ABE" w14:paraId="5F982438" w14:textId="77777777" w:rsidTr="00242CBD">
        <w:tc>
          <w:tcPr>
            <w:tcW w:w="4503" w:type="dxa"/>
            <w:shd w:val="clear" w:color="auto" w:fill="auto"/>
          </w:tcPr>
          <w:p w14:paraId="5F98AE5B"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 Depreciação / Amortização Acumulada</w:t>
            </w:r>
          </w:p>
        </w:tc>
        <w:tc>
          <w:tcPr>
            <w:tcW w:w="1984" w:type="dxa"/>
            <w:shd w:val="clear" w:color="auto" w:fill="auto"/>
          </w:tcPr>
          <w:p w14:paraId="7F65B1B2" w14:textId="55B4A57F"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r w:rsidR="00EB32AE">
              <w:rPr>
                <w:rFonts w:ascii="Times New Roman" w:hAnsi="Times New Roman"/>
                <w:sz w:val="24"/>
                <w:szCs w:val="24"/>
                <w:lang w:eastAsia="pt-BR"/>
              </w:rPr>
              <w:t>582.982,73</w:t>
            </w:r>
            <w:r>
              <w:rPr>
                <w:rFonts w:ascii="Times New Roman" w:hAnsi="Times New Roman"/>
                <w:sz w:val="24"/>
                <w:szCs w:val="24"/>
                <w:lang w:eastAsia="pt-BR"/>
              </w:rPr>
              <w:t>)</w:t>
            </w:r>
          </w:p>
        </w:tc>
        <w:tc>
          <w:tcPr>
            <w:tcW w:w="1716" w:type="dxa"/>
          </w:tcPr>
          <w:p w14:paraId="7B5EF54B"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(1.743.242,83)</w:t>
            </w:r>
          </w:p>
        </w:tc>
        <w:tc>
          <w:tcPr>
            <w:tcW w:w="1276" w:type="dxa"/>
            <w:shd w:val="clear" w:color="auto" w:fill="auto"/>
          </w:tcPr>
          <w:p w14:paraId="04F5335D" w14:textId="11E7B581" w:rsidR="00CB2FF5" w:rsidRPr="00F02ABE" w:rsidRDefault="001F3532"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-66,56</w:t>
            </w:r>
          </w:p>
        </w:tc>
        <w:tc>
          <w:tcPr>
            <w:tcW w:w="1443" w:type="dxa"/>
            <w:shd w:val="clear" w:color="auto" w:fill="auto"/>
          </w:tcPr>
          <w:p w14:paraId="4DC026AA" w14:textId="6CC75D2A"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0,</w:t>
            </w:r>
            <w:r w:rsidR="00DC0636">
              <w:rPr>
                <w:rFonts w:ascii="Times New Roman" w:hAnsi="Times New Roman"/>
                <w:sz w:val="24"/>
                <w:szCs w:val="24"/>
                <w:lang w:eastAsia="pt-BR"/>
              </w:rPr>
              <w:t>00</w:t>
            </w:r>
          </w:p>
        </w:tc>
      </w:tr>
      <w:tr w:rsidR="00CB2FF5" w:rsidRPr="00F02ABE" w14:paraId="514DE598" w14:textId="77777777" w:rsidTr="00242CBD">
        <w:tc>
          <w:tcPr>
            <w:tcW w:w="4503" w:type="dxa"/>
            <w:shd w:val="clear" w:color="auto" w:fill="auto"/>
          </w:tcPr>
          <w:p w14:paraId="6AB257BA"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lang w:eastAsia="pt-BR"/>
              </w:rPr>
            </w:pPr>
            <w:r w:rsidRPr="00F02ABE">
              <w:rPr>
                <w:rFonts w:ascii="Times New Roman" w:hAnsi="Times New Roman"/>
                <w:b/>
                <w:sz w:val="24"/>
                <w:szCs w:val="24"/>
                <w:lang w:eastAsia="pt-BR"/>
              </w:rPr>
              <w:t>Total</w:t>
            </w:r>
          </w:p>
        </w:tc>
        <w:tc>
          <w:tcPr>
            <w:tcW w:w="1984" w:type="dxa"/>
            <w:shd w:val="clear" w:color="auto" w:fill="auto"/>
          </w:tcPr>
          <w:p w14:paraId="56DC5D2D" w14:textId="06C4F813"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Pr>
                <w:rFonts w:ascii="Times New Roman" w:hAnsi="Times New Roman"/>
                <w:b/>
                <w:sz w:val="24"/>
                <w:szCs w:val="24"/>
                <w:lang w:eastAsia="pt-BR"/>
              </w:rPr>
              <w:t>21</w:t>
            </w:r>
            <w:r w:rsidR="001F3532">
              <w:rPr>
                <w:rFonts w:ascii="Times New Roman" w:hAnsi="Times New Roman"/>
                <w:b/>
                <w:sz w:val="24"/>
                <w:szCs w:val="24"/>
                <w:lang w:eastAsia="pt-BR"/>
              </w:rPr>
              <w:t>9.050.970,68</w:t>
            </w:r>
          </w:p>
        </w:tc>
        <w:tc>
          <w:tcPr>
            <w:tcW w:w="1716" w:type="dxa"/>
          </w:tcPr>
          <w:p w14:paraId="5EEF62AF"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Pr>
                <w:rFonts w:ascii="Times New Roman" w:hAnsi="Times New Roman"/>
                <w:b/>
                <w:sz w:val="24"/>
                <w:szCs w:val="24"/>
                <w:lang w:eastAsia="pt-BR"/>
              </w:rPr>
              <w:t>208.818.090,89</w:t>
            </w:r>
          </w:p>
        </w:tc>
        <w:tc>
          <w:tcPr>
            <w:tcW w:w="1276" w:type="dxa"/>
            <w:shd w:val="clear" w:color="auto" w:fill="auto"/>
          </w:tcPr>
          <w:p w14:paraId="20A9BD86" w14:textId="0A9660D8" w:rsidR="00CB2FF5" w:rsidRPr="00F02ABE" w:rsidRDefault="00180D5C" w:rsidP="00242CBD">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4,</w:t>
            </w:r>
            <w:r w:rsidR="001F3532">
              <w:rPr>
                <w:rFonts w:ascii="Times New Roman" w:hAnsi="Times New Roman"/>
                <w:b/>
                <w:sz w:val="24"/>
                <w:szCs w:val="24"/>
                <w:lang w:eastAsia="pt-BR"/>
              </w:rPr>
              <w:t>90</w:t>
            </w:r>
          </w:p>
        </w:tc>
        <w:tc>
          <w:tcPr>
            <w:tcW w:w="1443" w:type="dxa"/>
            <w:shd w:val="clear" w:color="auto" w:fill="auto"/>
          </w:tcPr>
          <w:p w14:paraId="2AD89160"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100</w:t>
            </w:r>
          </w:p>
        </w:tc>
      </w:tr>
    </w:tbl>
    <w:p w14:paraId="346DCA44"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9B77CE">
        <w:rPr>
          <w:rFonts w:ascii="Times New Roman" w:hAnsi="Times New Roman"/>
          <w:sz w:val="20"/>
          <w:szCs w:val="20"/>
          <w:lang w:eastAsia="pt-BR"/>
        </w:rPr>
        <w:t>Fonte: Tesouro Gerencial e SIAFI, 2024 e 2023</w:t>
      </w:r>
      <w:r w:rsidRPr="00F02ABE">
        <w:rPr>
          <w:rFonts w:ascii="Times New Roman" w:hAnsi="Times New Roman"/>
          <w:sz w:val="24"/>
          <w:szCs w:val="24"/>
          <w:lang w:eastAsia="pt-BR"/>
        </w:rPr>
        <w:t>.</w:t>
      </w:r>
    </w:p>
    <w:p w14:paraId="72F56891"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4BB98906" w14:textId="45A32942"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Os Bens </w:t>
      </w:r>
      <w:r>
        <w:rPr>
          <w:rFonts w:ascii="Times New Roman" w:hAnsi="Times New Roman"/>
          <w:sz w:val="24"/>
          <w:szCs w:val="24"/>
          <w:lang w:eastAsia="pt-BR"/>
        </w:rPr>
        <w:t>de Uso Especial</w:t>
      </w:r>
      <w:r w:rsidRPr="00F02ABE">
        <w:rPr>
          <w:rFonts w:ascii="Times New Roman" w:hAnsi="Times New Roman"/>
          <w:sz w:val="24"/>
          <w:szCs w:val="24"/>
          <w:lang w:eastAsia="pt-BR"/>
        </w:rPr>
        <w:t xml:space="preserve"> correspondem a </w:t>
      </w:r>
      <w:r>
        <w:rPr>
          <w:rFonts w:ascii="Times New Roman" w:hAnsi="Times New Roman"/>
          <w:sz w:val="24"/>
          <w:szCs w:val="24"/>
          <w:lang w:eastAsia="pt-BR"/>
        </w:rPr>
        <w:t>98,</w:t>
      </w:r>
      <w:r w:rsidR="002E7692">
        <w:rPr>
          <w:rFonts w:ascii="Times New Roman" w:hAnsi="Times New Roman"/>
          <w:sz w:val="24"/>
          <w:szCs w:val="24"/>
          <w:lang w:eastAsia="pt-BR"/>
        </w:rPr>
        <w:t>02</w:t>
      </w:r>
      <w:r w:rsidRPr="00F02ABE">
        <w:rPr>
          <w:rFonts w:ascii="Times New Roman" w:hAnsi="Times New Roman"/>
          <w:sz w:val="24"/>
          <w:szCs w:val="24"/>
          <w:lang w:eastAsia="pt-BR"/>
        </w:rPr>
        <w:t>% de todos os bens imóveis reconhecidos contabilmente no Balanço Patrimonial do IFPI, leva</w:t>
      </w:r>
      <w:r>
        <w:rPr>
          <w:rFonts w:ascii="Times New Roman" w:hAnsi="Times New Roman"/>
          <w:sz w:val="24"/>
          <w:szCs w:val="24"/>
          <w:lang w:eastAsia="pt-BR"/>
        </w:rPr>
        <w:t xml:space="preserve">ndo </w:t>
      </w:r>
      <w:r w:rsidRPr="00F02ABE">
        <w:rPr>
          <w:rFonts w:ascii="Times New Roman" w:hAnsi="Times New Roman"/>
          <w:sz w:val="24"/>
          <w:szCs w:val="24"/>
          <w:lang w:eastAsia="pt-BR"/>
        </w:rPr>
        <w:t xml:space="preserve">em conta a depreciação acumulada dos mesmos, perfazendo o montante de R$ </w:t>
      </w:r>
      <w:r w:rsidRPr="00512390">
        <w:rPr>
          <w:rFonts w:ascii="Times New Roman" w:hAnsi="Times New Roman"/>
          <w:sz w:val="24"/>
          <w:szCs w:val="24"/>
          <w:lang w:eastAsia="pt-BR"/>
        </w:rPr>
        <w:t>214.713.377,56</w:t>
      </w:r>
      <w:r w:rsidRPr="00F02ABE">
        <w:rPr>
          <w:rFonts w:ascii="Times New Roman" w:hAnsi="Times New Roman"/>
          <w:sz w:val="24"/>
          <w:szCs w:val="24"/>
          <w:lang w:eastAsia="pt-BR"/>
        </w:rPr>
        <w:t xml:space="preserve"> em 3</w:t>
      </w:r>
      <w:r w:rsidR="002E7692">
        <w:rPr>
          <w:rFonts w:ascii="Times New Roman" w:hAnsi="Times New Roman"/>
          <w:sz w:val="24"/>
          <w:szCs w:val="24"/>
          <w:lang w:eastAsia="pt-BR"/>
        </w:rPr>
        <w:t>1</w:t>
      </w:r>
      <w:r>
        <w:rPr>
          <w:rFonts w:ascii="Times New Roman" w:hAnsi="Times New Roman"/>
          <w:sz w:val="24"/>
          <w:szCs w:val="24"/>
          <w:lang w:eastAsia="pt-BR"/>
        </w:rPr>
        <w:t>/</w:t>
      </w:r>
      <w:r w:rsidR="002E7692">
        <w:rPr>
          <w:rFonts w:ascii="Times New Roman" w:hAnsi="Times New Roman"/>
          <w:sz w:val="24"/>
          <w:szCs w:val="24"/>
          <w:lang w:eastAsia="pt-BR"/>
        </w:rPr>
        <w:t>12</w:t>
      </w:r>
      <w:r>
        <w:rPr>
          <w:rFonts w:ascii="Times New Roman" w:hAnsi="Times New Roman"/>
          <w:sz w:val="24"/>
          <w:szCs w:val="24"/>
          <w:lang w:eastAsia="pt-BR"/>
        </w:rPr>
        <w:t>/2024</w:t>
      </w:r>
      <w:r w:rsidRPr="00F02ABE">
        <w:rPr>
          <w:rFonts w:ascii="Times New Roman" w:hAnsi="Times New Roman"/>
          <w:sz w:val="24"/>
          <w:szCs w:val="24"/>
          <w:lang w:eastAsia="pt-BR"/>
        </w:rPr>
        <w:t>. Em síntese, esse</w:t>
      </w:r>
      <w:r>
        <w:rPr>
          <w:rFonts w:ascii="Times New Roman" w:hAnsi="Times New Roman"/>
          <w:sz w:val="24"/>
          <w:szCs w:val="24"/>
          <w:lang w:eastAsia="pt-BR"/>
        </w:rPr>
        <w:t xml:space="preserve">s imóveis já estão registrados </w:t>
      </w:r>
      <w:r w:rsidRPr="00F02ABE">
        <w:rPr>
          <w:rFonts w:ascii="Times New Roman" w:hAnsi="Times New Roman"/>
          <w:sz w:val="24"/>
          <w:szCs w:val="24"/>
          <w:lang w:eastAsia="pt-BR"/>
        </w:rPr>
        <w:t xml:space="preserve">no </w:t>
      </w:r>
      <w:proofErr w:type="spellStart"/>
      <w:r w:rsidRPr="00F02ABE">
        <w:rPr>
          <w:rFonts w:ascii="Times New Roman" w:hAnsi="Times New Roman"/>
          <w:sz w:val="24"/>
          <w:szCs w:val="24"/>
          <w:lang w:eastAsia="pt-BR"/>
        </w:rPr>
        <w:t>SPIUnet</w:t>
      </w:r>
      <w:proofErr w:type="spellEnd"/>
      <w:r w:rsidRPr="00F02ABE">
        <w:rPr>
          <w:rFonts w:ascii="Times New Roman" w:hAnsi="Times New Roman"/>
          <w:sz w:val="24"/>
          <w:szCs w:val="24"/>
          <w:lang w:eastAsia="pt-BR"/>
        </w:rPr>
        <w:t xml:space="preserve">. </w:t>
      </w:r>
    </w:p>
    <w:p w14:paraId="27CA78E2"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1D8C3771"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lang w:eastAsia="pt-BR"/>
        </w:rPr>
      </w:pPr>
      <w:r w:rsidRPr="00F02ABE">
        <w:rPr>
          <w:rFonts w:ascii="Times New Roman" w:hAnsi="Times New Roman"/>
          <w:b/>
          <w:sz w:val="24"/>
          <w:szCs w:val="24"/>
          <w:lang w:eastAsia="pt-BR"/>
        </w:rPr>
        <w:t xml:space="preserve">Tabela 11 – Bens Imóveis </w:t>
      </w:r>
      <w:r>
        <w:rPr>
          <w:rFonts w:ascii="Times New Roman" w:hAnsi="Times New Roman"/>
          <w:b/>
          <w:sz w:val="24"/>
          <w:szCs w:val="24"/>
          <w:lang w:eastAsia="pt-BR"/>
        </w:rPr>
        <w:t>de Uso Educacional</w:t>
      </w:r>
      <w:r w:rsidRPr="00F02ABE">
        <w:rPr>
          <w:rFonts w:ascii="Times New Roman" w:hAnsi="Times New Roman"/>
          <w:b/>
          <w:sz w:val="24"/>
          <w:szCs w:val="24"/>
          <w:lang w:eastAsia="pt-BR"/>
        </w:rPr>
        <w:t xml:space="preserve"> - Composição </w:t>
      </w:r>
    </w:p>
    <w:p w14:paraId="2737AC84"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                                                                                                                                                                           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086"/>
        <w:gridCol w:w="1721"/>
        <w:gridCol w:w="1572"/>
        <w:gridCol w:w="1443"/>
      </w:tblGrid>
      <w:tr w:rsidR="00CB2FF5" w:rsidRPr="00F02ABE" w14:paraId="45500589" w14:textId="77777777" w:rsidTr="00242CBD">
        <w:tc>
          <w:tcPr>
            <w:tcW w:w="3227" w:type="dxa"/>
            <w:shd w:val="clear" w:color="auto" w:fill="auto"/>
          </w:tcPr>
          <w:p w14:paraId="1DE1FBDA" w14:textId="77777777" w:rsidR="00CB2FF5" w:rsidRPr="00584569" w:rsidRDefault="00CB2FF5" w:rsidP="00242CBD">
            <w:pPr>
              <w:autoSpaceDE w:val="0"/>
              <w:autoSpaceDN w:val="0"/>
              <w:adjustRightInd w:val="0"/>
              <w:spacing w:after="0" w:line="240" w:lineRule="auto"/>
              <w:rPr>
                <w:rFonts w:ascii="Times New Roman" w:hAnsi="Times New Roman"/>
                <w:b/>
                <w:bCs/>
                <w:sz w:val="24"/>
                <w:szCs w:val="24"/>
                <w:lang w:eastAsia="pt-BR"/>
              </w:rPr>
            </w:pPr>
            <w:r w:rsidRPr="00584569">
              <w:rPr>
                <w:rFonts w:ascii="Times New Roman" w:hAnsi="Times New Roman"/>
                <w:b/>
                <w:bCs/>
                <w:sz w:val="24"/>
                <w:szCs w:val="24"/>
                <w:lang w:eastAsia="pt-BR"/>
              </w:rPr>
              <w:t>Bens de Uso Especial</w:t>
            </w:r>
          </w:p>
        </w:tc>
        <w:tc>
          <w:tcPr>
            <w:tcW w:w="3086" w:type="dxa"/>
            <w:shd w:val="clear" w:color="auto" w:fill="auto"/>
          </w:tcPr>
          <w:p w14:paraId="0187A102" w14:textId="3ECFE9FD"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3</w:t>
            </w:r>
            <w:r w:rsidR="002E7692">
              <w:rPr>
                <w:rFonts w:ascii="Times New Roman" w:hAnsi="Times New Roman"/>
                <w:b/>
                <w:sz w:val="24"/>
                <w:szCs w:val="24"/>
                <w:lang w:eastAsia="pt-BR"/>
              </w:rPr>
              <w:t>1</w:t>
            </w:r>
            <w:r>
              <w:rPr>
                <w:rFonts w:ascii="Times New Roman" w:hAnsi="Times New Roman"/>
                <w:b/>
                <w:sz w:val="24"/>
                <w:szCs w:val="24"/>
                <w:lang w:eastAsia="pt-BR"/>
              </w:rPr>
              <w:t>/</w:t>
            </w:r>
            <w:r w:rsidR="002E7692">
              <w:rPr>
                <w:rFonts w:ascii="Times New Roman" w:hAnsi="Times New Roman"/>
                <w:b/>
                <w:sz w:val="24"/>
                <w:szCs w:val="24"/>
                <w:lang w:eastAsia="pt-BR"/>
              </w:rPr>
              <w:t>12</w:t>
            </w:r>
            <w:r w:rsidRPr="00F02ABE">
              <w:rPr>
                <w:rFonts w:ascii="Times New Roman" w:hAnsi="Times New Roman"/>
                <w:b/>
                <w:sz w:val="24"/>
                <w:szCs w:val="24"/>
                <w:lang w:eastAsia="pt-BR"/>
              </w:rPr>
              <w:t>/202</w:t>
            </w:r>
            <w:r>
              <w:rPr>
                <w:rFonts w:ascii="Times New Roman" w:hAnsi="Times New Roman"/>
                <w:b/>
                <w:sz w:val="24"/>
                <w:szCs w:val="24"/>
                <w:lang w:eastAsia="pt-BR"/>
              </w:rPr>
              <w:t>4</w:t>
            </w:r>
          </w:p>
        </w:tc>
        <w:tc>
          <w:tcPr>
            <w:tcW w:w="1721" w:type="dxa"/>
          </w:tcPr>
          <w:p w14:paraId="4B386FCA"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31/12/202</w:t>
            </w:r>
            <w:r>
              <w:rPr>
                <w:rFonts w:ascii="Times New Roman" w:hAnsi="Times New Roman"/>
                <w:b/>
                <w:sz w:val="24"/>
                <w:szCs w:val="24"/>
                <w:lang w:eastAsia="pt-BR"/>
              </w:rPr>
              <w:t>3</w:t>
            </w:r>
          </w:p>
        </w:tc>
        <w:tc>
          <w:tcPr>
            <w:tcW w:w="1572" w:type="dxa"/>
            <w:shd w:val="clear" w:color="auto" w:fill="auto"/>
          </w:tcPr>
          <w:p w14:paraId="4F257CB6"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AH(%)</w:t>
            </w:r>
          </w:p>
        </w:tc>
        <w:tc>
          <w:tcPr>
            <w:tcW w:w="1443" w:type="dxa"/>
            <w:shd w:val="clear" w:color="auto" w:fill="auto"/>
          </w:tcPr>
          <w:p w14:paraId="6C2E3FBC"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AV(%)2021</w:t>
            </w:r>
          </w:p>
        </w:tc>
      </w:tr>
      <w:tr w:rsidR="00CB2FF5" w:rsidRPr="00F02ABE" w14:paraId="29C13D04" w14:textId="77777777" w:rsidTr="00242CBD">
        <w:trPr>
          <w:trHeight w:val="313"/>
        </w:trPr>
        <w:tc>
          <w:tcPr>
            <w:tcW w:w="3227" w:type="dxa"/>
            <w:shd w:val="clear" w:color="auto" w:fill="auto"/>
          </w:tcPr>
          <w:p w14:paraId="29F12486" w14:textId="77777777" w:rsidR="00CB2FF5" w:rsidRPr="00F02ABE" w:rsidRDefault="00CB2FF5" w:rsidP="00242CBD">
            <w:pPr>
              <w:autoSpaceDE w:val="0"/>
              <w:autoSpaceDN w:val="0"/>
              <w:adjustRightInd w:val="0"/>
              <w:spacing w:after="0" w:line="240" w:lineRule="auto"/>
              <w:rPr>
                <w:rFonts w:ascii="Times New Roman" w:hAnsi="Times New Roman"/>
                <w:sz w:val="24"/>
                <w:szCs w:val="24"/>
                <w:lang w:eastAsia="pt-BR"/>
              </w:rPr>
            </w:pPr>
            <w:r>
              <w:rPr>
                <w:rFonts w:ascii="Times New Roman" w:hAnsi="Times New Roman"/>
                <w:sz w:val="24"/>
                <w:szCs w:val="24"/>
                <w:lang w:eastAsia="pt-BR"/>
              </w:rPr>
              <w:t>Imóveis de Uso Educacional</w:t>
            </w:r>
          </w:p>
        </w:tc>
        <w:tc>
          <w:tcPr>
            <w:tcW w:w="3086" w:type="dxa"/>
            <w:shd w:val="clear" w:color="auto" w:fill="auto"/>
          </w:tcPr>
          <w:p w14:paraId="2312F4A9"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sidRPr="00512390">
              <w:rPr>
                <w:rFonts w:ascii="Times New Roman" w:hAnsi="Times New Roman"/>
                <w:sz w:val="24"/>
                <w:szCs w:val="24"/>
                <w:lang w:eastAsia="pt-BR"/>
              </w:rPr>
              <w:t>214.713.377,56</w:t>
            </w:r>
          </w:p>
        </w:tc>
        <w:tc>
          <w:tcPr>
            <w:tcW w:w="1721" w:type="dxa"/>
          </w:tcPr>
          <w:p w14:paraId="2940B1EA"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sidRPr="00A048D8">
              <w:rPr>
                <w:rFonts w:ascii="Times New Roman" w:hAnsi="Times New Roman"/>
                <w:sz w:val="24"/>
                <w:szCs w:val="24"/>
                <w:lang w:eastAsia="pt-BR"/>
              </w:rPr>
              <w:t>205.358.986,64</w:t>
            </w:r>
          </w:p>
        </w:tc>
        <w:tc>
          <w:tcPr>
            <w:tcW w:w="1572" w:type="dxa"/>
            <w:shd w:val="clear" w:color="auto" w:fill="auto"/>
          </w:tcPr>
          <w:p w14:paraId="31F63287"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4,55</w:t>
            </w:r>
          </w:p>
        </w:tc>
        <w:tc>
          <w:tcPr>
            <w:tcW w:w="1443" w:type="dxa"/>
            <w:shd w:val="clear" w:color="auto" w:fill="auto"/>
          </w:tcPr>
          <w:p w14:paraId="4CFD3AAF"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100</w:t>
            </w:r>
          </w:p>
        </w:tc>
      </w:tr>
      <w:tr w:rsidR="00CB2FF5" w:rsidRPr="00F02ABE" w14:paraId="08B04041" w14:textId="77777777" w:rsidTr="00242CBD">
        <w:tc>
          <w:tcPr>
            <w:tcW w:w="3227" w:type="dxa"/>
            <w:shd w:val="clear" w:color="auto" w:fill="auto"/>
          </w:tcPr>
          <w:p w14:paraId="754E9C70"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lang w:eastAsia="pt-BR"/>
              </w:rPr>
            </w:pPr>
            <w:r w:rsidRPr="00F02ABE">
              <w:rPr>
                <w:rFonts w:ascii="Times New Roman" w:hAnsi="Times New Roman"/>
                <w:b/>
                <w:sz w:val="24"/>
                <w:szCs w:val="24"/>
                <w:lang w:eastAsia="pt-BR"/>
              </w:rPr>
              <w:t>Total</w:t>
            </w:r>
          </w:p>
        </w:tc>
        <w:tc>
          <w:tcPr>
            <w:tcW w:w="3086" w:type="dxa"/>
            <w:shd w:val="clear" w:color="auto" w:fill="auto"/>
          </w:tcPr>
          <w:p w14:paraId="63D47AA8" w14:textId="77777777" w:rsidR="00CB2FF5" w:rsidRPr="00681505" w:rsidRDefault="00CB2FF5" w:rsidP="00242CBD">
            <w:pPr>
              <w:autoSpaceDE w:val="0"/>
              <w:autoSpaceDN w:val="0"/>
              <w:adjustRightInd w:val="0"/>
              <w:spacing w:after="0" w:line="240" w:lineRule="auto"/>
              <w:jc w:val="right"/>
              <w:rPr>
                <w:rFonts w:ascii="Times New Roman" w:hAnsi="Times New Roman"/>
                <w:b/>
                <w:bCs/>
                <w:sz w:val="24"/>
                <w:szCs w:val="24"/>
                <w:lang w:eastAsia="pt-BR"/>
              </w:rPr>
            </w:pPr>
            <w:r w:rsidRPr="00681505">
              <w:rPr>
                <w:rFonts w:ascii="Times New Roman" w:hAnsi="Times New Roman"/>
                <w:b/>
                <w:bCs/>
                <w:sz w:val="24"/>
                <w:szCs w:val="24"/>
                <w:lang w:eastAsia="pt-BR"/>
              </w:rPr>
              <w:t>214.713.377,56</w:t>
            </w:r>
          </w:p>
        </w:tc>
        <w:tc>
          <w:tcPr>
            <w:tcW w:w="1721" w:type="dxa"/>
          </w:tcPr>
          <w:p w14:paraId="6972768A" w14:textId="77777777" w:rsidR="00CB2FF5" w:rsidRPr="00FB019D" w:rsidRDefault="00CB2FF5" w:rsidP="00242CBD">
            <w:pPr>
              <w:autoSpaceDE w:val="0"/>
              <w:autoSpaceDN w:val="0"/>
              <w:adjustRightInd w:val="0"/>
              <w:spacing w:after="0" w:line="240" w:lineRule="auto"/>
              <w:jc w:val="right"/>
              <w:rPr>
                <w:rFonts w:ascii="Times New Roman" w:hAnsi="Times New Roman"/>
                <w:b/>
                <w:bCs/>
                <w:sz w:val="24"/>
                <w:szCs w:val="24"/>
                <w:lang w:eastAsia="pt-BR"/>
              </w:rPr>
            </w:pPr>
            <w:r w:rsidRPr="00A048D8">
              <w:rPr>
                <w:rFonts w:ascii="Times New Roman" w:hAnsi="Times New Roman"/>
                <w:b/>
                <w:bCs/>
                <w:sz w:val="24"/>
                <w:szCs w:val="24"/>
                <w:lang w:eastAsia="pt-BR"/>
              </w:rPr>
              <w:t>205.358.986,64</w:t>
            </w:r>
          </w:p>
        </w:tc>
        <w:tc>
          <w:tcPr>
            <w:tcW w:w="1572" w:type="dxa"/>
            <w:shd w:val="clear" w:color="auto" w:fill="auto"/>
          </w:tcPr>
          <w:p w14:paraId="673A8178" w14:textId="77777777" w:rsidR="00CB2FF5" w:rsidRPr="00FB019D" w:rsidRDefault="00CB2FF5" w:rsidP="00242CBD">
            <w:pPr>
              <w:autoSpaceDE w:val="0"/>
              <w:autoSpaceDN w:val="0"/>
              <w:adjustRightInd w:val="0"/>
              <w:spacing w:after="0" w:line="240" w:lineRule="auto"/>
              <w:jc w:val="center"/>
              <w:rPr>
                <w:rFonts w:ascii="Times New Roman" w:hAnsi="Times New Roman"/>
                <w:b/>
                <w:bCs/>
                <w:sz w:val="24"/>
                <w:szCs w:val="24"/>
                <w:lang w:eastAsia="pt-BR"/>
              </w:rPr>
            </w:pPr>
            <w:r>
              <w:rPr>
                <w:rFonts w:ascii="Times New Roman" w:hAnsi="Times New Roman"/>
                <w:b/>
                <w:bCs/>
                <w:sz w:val="24"/>
                <w:szCs w:val="24"/>
                <w:lang w:eastAsia="pt-BR"/>
              </w:rPr>
              <w:t>4,55</w:t>
            </w:r>
          </w:p>
        </w:tc>
        <w:tc>
          <w:tcPr>
            <w:tcW w:w="1443" w:type="dxa"/>
            <w:shd w:val="clear" w:color="auto" w:fill="auto"/>
          </w:tcPr>
          <w:p w14:paraId="4A85C3AA" w14:textId="77777777" w:rsidR="00CB2FF5" w:rsidRPr="00FB019D" w:rsidRDefault="00CB2FF5" w:rsidP="00242CBD">
            <w:pPr>
              <w:autoSpaceDE w:val="0"/>
              <w:autoSpaceDN w:val="0"/>
              <w:adjustRightInd w:val="0"/>
              <w:spacing w:after="0" w:line="240" w:lineRule="auto"/>
              <w:jc w:val="center"/>
              <w:rPr>
                <w:rFonts w:ascii="Times New Roman" w:hAnsi="Times New Roman"/>
                <w:b/>
                <w:bCs/>
                <w:sz w:val="24"/>
                <w:szCs w:val="24"/>
                <w:lang w:eastAsia="pt-BR"/>
              </w:rPr>
            </w:pPr>
            <w:r w:rsidRPr="00FB019D">
              <w:rPr>
                <w:rFonts w:ascii="Times New Roman" w:hAnsi="Times New Roman"/>
                <w:b/>
                <w:bCs/>
                <w:sz w:val="24"/>
                <w:szCs w:val="24"/>
                <w:lang w:eastAsia="pt-BR"/>
              </w:rPr>
              <w:t>100</w:t>
            </w:r>
          </w:p>
        </w:tc>
      </w:tr>
    </w:tbl>
    <w:p w14:paraId="6C9DBBE0"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3D0D33">
        <w:rPr>
          <w:rFonts w:ascii="Times New Roman" w:hAnsi="Times New Roman"/>
          <w:sz w:val="20"/>
          <w:szCs w:val="20"/>
          <w:lang w:eastAsia="pt-BR"/>
        </w:rPr>
        <w:t>Fonte: Tesouro Gerencial e SIAFI, 2024 e 2023</w:t>
      </w:r>
      <w:r w:rsidRPr="00F02ABE">
        <w:rPr>
          <w:rFonts w:ascii="Times New Roman" w:hAnsi="Times New Roman"/>
          <w:sz w:val="24"/>
          <w:szCs w:val="24"/>
          <w:lang w:eastAsia="pt-BR"/>
        </w:rPr>
        <w:t>.</w:t>
      </w:r>
    </w:p>
    <w:p w14:paraId="7A3D7E6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lang w:eastAsia="pt-BR"/>
        </w:rPr>
      </w:pPr>
    </w:p>
    <w:p w14:paraId="24272357" w14:textId="77777777" w:rsidR="00CB2FF5" w:rsidRPr="00F02ABE" w:rsidRDefault="00CB2FF5" w:rsidP="00CB2FF5">
      <w:pPr>
        <w:pStyle w:val="Default"/>
        <w:ind w:left="1701"/>
        <w:jc w:val="both"/>
      </w:pPr>
      <w:r w:rsidRPr="00F02ABE">
        <w:t xml:space="preserve">(a) Reavaliação, redução ao valor recuperável, depreciação, amortização e exaustão. Os procedimentos para registro da reavaliação, redução a valor recuperável, depreciação, amortização e exaustão na Administração Pública Direta da União, suas autarquias e fundações tem como base legal a Lei nº 4.320/1964, Lei Complementar nº 101/2000, NBCASP, MCASP e Lei nº 10.180/2001. Os procedimentos contábeis estão descritos, de maneira mais detalhada, no Manual SIAFI Web, Macrofunção 020330, disponível no sítio da STN e na Portaria Conjunta STN/SPU nº 3/2014. </w:t>
      </w:r>
    </w:p>
    <w:p w14:paraId="0C838611" w14:textId="77777777" w:rsidR="00CB2FF5" w:rsidRPr="00F02ABE" w:rsidRDefault="00CB2FF5" w:rsidP="00CB2FF5">
      <w:pPr>
        <w:pStyle w:val="Default"/>
        <w:ind w:left="1701"/>
        <w:jc w:val="both"/>
      </w:pPr>
      <w:r w:rsidRPr="00F02ABE">
        <w:t xml:space="preserve">Quanto a Depreciação de bens móveis, O IFPI ainda não </w:t>
      </w:r>
      <w:proofErr w:type="spellStart"/>
      <w:r w:rsidRPr="00F02ABE">
        <w:t>iniciou</w:t>
      </w:r>
      <w:proofErr w:type="spellEnd"/>
      <w:r w:rsidRPr="00F02ABE">
        <w:t xml:space="preserve"> o cálculo e registro, por não dispor ainda de um sistema informatizado. O SIADS está em fase de implantação. </w:t>
      </w:r>
    </w:p>
    <w:p w14:paraId="2CBAFC44" w14:textId="77777777" w:rsidR="00CB2FF5" w:rsidRPr="00F02ABE" w:rsidRDefault="00CB2FF5" w:rsidP="00CB2FF5">
      <w:pPr>
        <w:pStyle w:val="Default"/>
        <w:jc w:val="both"/>
      </w:pPr>
      <w:r w:rsidRPr="00F02ABE">
        <w:t xml:space="preserve"> </w:t>
      </w:r>
    </w:p>
    <w:p w14:paraId="1C6C7820" w14:textId="77777777" w:rsidR="00CB2FF5" w:rsidRPr="00F02ABE" w:rsidRDefault="00CB2FF5" w:rsidP="00CB2FF5">
      <w:pPr>
        <w:pStyle w:val="Default"/>
        <w:ind w:left="1701"/>
        <w:jc w:val="both"/>
      </w:pPr>
      <w:r w:rsidRPr="00F02ABE">
        <w:t xml:space="preserve">(a.1) Reavaliação </w:t>
      </w:r>
    </w:p>
    <w:p w14:paraId="084918AE"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rPr>
      </w:pPr>
      <w:r w:rsidRPr="00F02ABE">
        <w:rPr>
          <w:rFonts w:ascii="Times New Roman" w:hAnsi="Times New Roman"/>
          <w:sz w:val="24"/>
          <w:szCs w:val="24"/>
        </w:rPr>
        <w:t>Segundo a Portaria Conjunta STN/SPU nº 3/2014 os valores dos bens imóveis de uso especial da União, autarquias e fundações públicas federais deverão ser reavaliados, aqueles nos quais seja aplicado, a título de benfeitoria, valor percentual igual ou superior ao estipulado pela SPU; houver alteração de área construída, independentemente do valor investido; seja comprovada a ocorrência de quaisquer sinistros, tais como incêndio, desmoronamento, desabamento, arruinamento, dentre outros.</w:t>
      </w:r>
    </w:p>
    <w:p w14:paraId="77446F66"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rPr>
      </w:pPr>
      <w:r w:rsidRPr="00F02ABE">
        <w:rPr>
          <w:rFonts w:ascii="Times New Roman" w:hAnsi="Times New Roman"/>
          <w:sz w:val="24"/>
          <w:szCs w:val="24"/>
        </w:rPr>
        <w:lastRenderedPageBreak/>
        <w:t>Os valores são atualizados sistemicamente, a cada ano, na data base de 31 de dezembro, independentemente da classificação, considerando os parâmetros e características específicas dos imóveis e preços unitários regionais, atualizados periodicamente.</w:t>
      </w:r>
    </w:p>
    <w:p w14:paraId="177291FF" w14:textId="77777777" w:rsidR="00CB2FF5" w:rsidRPr="00F02ABE" w:rsidRDefault="00CB2FF5" w:rsidP="00CB2FF5">
      <w:pPr>
        <w:pStyle w:val="Default"/>
        <w:ind w:left="1701"/>
        <w:jc w:val="both"/>
      </w:pPr>
      <w:r w:rsidRPr="00F02ABE">
        <w:t xml:space="preserve">(a.2) Redução ao valor recuperável de ativos - </w:t>
      </w:r>
      <w:proofErr w:type="spellStart"/>
      <w:r w:rsidRPr="00F02ABE">
        <w:t>Impairment</w:t>
      </w:r>
      <w:proofErr w:type="spellEnd"/>
      <w:r w:rsidRPr="00F02ABE">
        <w:t xml:space="preserve"> </w:t>
      </w:r>
    </w:p>
    <w:p w14:paraId="21579385" w14:textId="77777777" w:rsidR="00CB2FF5" w:rsidRPr="00F02ABE" w:rsidRDefault="00CB2FF5" w:rsidP="00CB2FF5">
      <w:pPr>
        <w:pStyle w:val="Default"/>
        <w:ind w:left="1701"/>
        <w:jc w:val="both"/>
      </w:pPr>
    </w:p>
    <w:p w14:paraId="37C30B6A" w14:textId="77777777" w:rsidR="00CB2FF5" w:rsidRPr="00F02ABE" w:rsidRDefault="00CB2FF5" w:rsidP="00CB2FF5">
      <w:pPr>
        <w:pStyle w:val="Default"/>
        <w:ind w:left="1701"/>
        <w:jc w:val="both"/>
      </w:pPr>
      <w:r w:rsidRPr="00F02ABE">
        <w:t xml:space="preserve">O órgão IFPI não está realizando teste de </w:t>
      </w:r>
      <w:proofErr w:type="spellStart"/>
      <w:r w:rsidRPr="00F02ABE">
        <w:t>Impairment</w:t>
      </w:r>
      <w:proofErr w:type="spellEnd"/>
      <w:r w:rsidRPr="00F02ABE">
        <w:t xml:space="preserve">, segundo às orientações do MCASP (Parte II - Procedimentos Contábeis Patrimoniais) e estão descritas de forma mais detalhada no Manual </w:t>
      </w:r>
      <w:proofErr w:type="spellStart"/>
      <w:r w:rsidRPr="00F02ABE">
        <w:t>SIAFIWeb</w:t>
      </w:r>
      <w:proofErr w:type="spellEnd"/>
      <w:r w:rsidRPr="00F02ABE">
        <w:t xml:space="preserve">, Macrofunção 020330, disponível no sítio da STN (www.tesouro.gov.br). </w:t>
      </w:r>
    </w:p>
    <w:p w14:paraId="5099C0E4" w14:textId="77777777" w:rsidR="00CB2FF5" w:rsidRPr="00F02ABE" w:rsidRDefault="00CB2FF5" w:rsidP="00CB2FF5">
      <w:pPr>
        <w:pStyle w:val="Default"/>
        <w:ind w:left="1701"/>
        <w:jc w:val="both"/>
      </w:pPr>
    </w:p>
    <w:p w14:paraId="3589CD6F" w14:textId="77777777" w:rsidR="00CB2FF5" w:rsidRPr="00F02ABE" w:rsidRDefault="00CB2FF5" w:rsidP="00CB2FF5">
      <w:pPr>
        <w:pStyle w:val="Default"/>
        <w:ind w:left="1701"/>
        <w:jc w:val="both"/>
      </w:pPr>
      <w:r w:rsidRPr="00F02ABE">
        <w:t xml:space="preserve">(a.3) Depreciação, amortização ou exaustão de bens imóveis não cadastrados no </w:t>
      </w:r>
      <w:proofErr w:type="spellStart"/>
      <w:r w:rsidRPr="00F02ABE">
        <w:t>SPIUnet</w:t>
      </w:r>
      <w:proofErr w:type="spellEnd"/>
      <w:r w:rsidRPr="00F02ABE">
        <w:t xml:space="preserve"> e bens móveis.</w:t>
      </w:r>
    </w:p>
    <w:p w14:paraId="029AF6AA" w14:textId="77777777" w:rsidR="00CB2FF5" w:rsidRPr="00F02ABE" w:rsidRDefault="00CB2FF5" w:rsidP="00CB2FF5">
      <w:pPr>
        <w:pStyle w:val="Default"/>
        <w:ind w:left="1701"/>
        <w:jc w:val="both"/>
      </w:pPr>
    </w:p>
    <w:p w14:paraId="0DF59B59" w14:textId="77777777" w:rsidR="00CB2FF5" w:rsidRPr="00F02ABE" w:rsidRDefault="00CB2FF5" w:rsidP="00CB2FF5">
      <w:pPr>
        <w:pStyle w:val="Default"/>
        <w:ind w:left="1701"/>
        <w:jc w:val="both"/>
      </w:pPr>
      <w:r w:rsidRPr="00F02ABE">
        <w:t xml:space="preserve">A base de cálculo para a depreciação, amortização e exaustão é o custo do ativo imobilizado, compreendendo tanto os custos diretos como os indiretos. O método de cálculo dos encargos de depreciação a ser utilizado para toda a Administração Pública direta, autárquica e fundacional para os bens imóveis que não são cadastrados no </w:t>
      </w:r>
      <w:proofErr w:type="spellStart"/>
      <w:r w:rsidRPr="00F02ABE">
        <w:t>SPIUnet</w:t>
      </w:r>
      <w:proofErr w:type="spellEnd"/>
      <w:r w:rsidRPr="00F02ABE">
        <w:t xml:space="preserve"> e para os bens móveis é o das quotas constantes. </w:t>
      </w:r>
    </w:p>
    <w:p w14:paraId="225552AB" w14:textId="77777777" w:rsidR="00CB2FF5" w:rsidRPr="00F02ABE" w:rsidRDefault="00CB2FF5" w:rsidP="00CB2FF5">
      <w:pPr>
        <w:pStyle w:val="Default"/>
        <w:ind w:left="1701"/>
        <w:jc w:val="both"/>
      </w:pPr>
      <w:r w:rsidRPr="00F02ABE">
        <w:t xml:space="preserve">Como regra geral, a depreciação dos bens imóveis não cadastrados no </w:t>
      </w:r>
      <w:proofErr w:type="spellStart"/>
      <w:r w:rsidRPr="00F02ABE">
        <w:t>SPIUnet</w:t>
      </w:r>
      <w:proofErr w:type="spellEnd"/>
      <w:r w:rsidRPr="00F02ABE">
        <w:t xml:space="preserve"> e dos bens móveis será iniciada a partir do primeiro dia do mês seguinte à data da colocação do bem em utilização. Porém, quando o valor do bem adquirido e o valor da depreciação no primeiro mês sejam relevantes, admite-se, em caráter de exceção, o cômputo da depreciação em fração menor do que um mês. </w:t>
      </w:r>
    </w:p>
    <w:p w14:paraId="3E51307B" w14:textId="77777777" w:rsidR="00CB2FF5" w:rsidRPr="00F02ABE" w:rsidRDefault="00CB2FF5" w:rsidP="00CB2FF5">
      <w:pPr>
        <w:pStyle w:val="Default"/>
        <w:ind w:left="1701"/>
        <w:jc w:val="both"/>
      </w:pPr>
      <w:r w:rsidRPr="00F02ABE">
        <w:t xml:space="preserve">Cabe informar que o IFPI apresentava em 31/12/2020 o montante de 117,8 milhões relacionados a Bens de Uso Especial não registrados no SPIUNET. Informamos que o cálculo e registro da depreciação destes bens não vem sendo realizado. </w:t>
      </w:r>
    </w:p>
    <w:p w14:paraId="4BBDA7AA" w14:textId="77777777" w:rsidR="00CB2FF5" w:rsidRPr="00F02ABE" w:rsidRDefault="00CB2FF5" w:rsidP="00CB2FF5">
      <w:pPr>
        <w:pStyle w:val="Default"/>
        <w:ind w:left="1701"/>
        <w:jc w:val="both"/>
        <w:rPr>
          <w:color w:val="auto"/>
        </w:rPr>
      </w:pPr>
    </w:p>
    <w:p w14:paraId="45D5FB73" w14:textId="77777777" w:rsidR="00CB2FF5" w:rsidRPr="00F02ABE" w:rsidRDefault="00CB2FF5" w:rsidP="00CB2FF5">
      <w:pPr>
        <w:pStyle w:val="Default"/>
        <w:ind w:left="1701"/>
        <w:jc w:val="both"/>
        <w:rPr>
          <w:color w:val="auto"/>
        </w:rPr>
      </w:pPr>
      <w:r w:rsidRPr="00F02ABE">
        <w:rPr>
          <w:color w:val="auto"/>
        </w:rPr>
        <w:t xml:space="preserve">(a.4) Depreciação de bens imóveis cadastrados no </w:t>
      </w:r>
      <w:proofErr w:type="spellStart"/>
      <w:r w:rsidRPr="00F02ABE">
        <w:rPr>
          <w:color w:val="auto"/>
        </w:rPr>
        <w:t>SPIUnet</w:t>
      </w:r>
      <w:proofErr w:type="spellEnd"/>
      <w:r w:rsidRPr="00F02ABE">
        <w:rPr>
          <w:color w:val="auto"/>
        </w:rPr>
        <w:t xml:space="preserve"> </w:t>
      </w:r>
    </w:p>
    <w:p w14:paraId="3D1C4AB0" w14:textId="77777777" w:rsidR="00CB2FF5" w:rsidRPr="00F02ABE" w:rsidRDefault="00CB2FF5" w:rsidP="00CB2FF5">
      <w:pPr>
        <w:pStyle w:val="Default"/>
        <w:ind w:left="1701"/>
        <w:jc w:val="both"/>
        <w:rPr>
          <w:color w:val="auto"/>
        </w:rPr>
      </w:pPr>
    </w:p>
    <w:p w14:paraId="016A0899" w14:textId="77777777" w:rsidR="00CB2FF5" w:rsidRPr="00F02ABE" w:rsidRDefault="00CB2FF5" w:rsidP="00CB2FF5">
      <w:pPr>
        <w:pStyle w:val="Default"/>
        <w:ind w:left="1701"/>
        <w:jc w:val="both"/>
        <w:rPr>
          <w:color w:val="auto"/>
        </w:rPr>
      </w:pPr>
      <w:r w:rsidRPr="00F02ABE">
        <w:rPr>
          <w:color w:val="auto"/>
        </w:rPr>
        <w:t xml:space="preserve">A Portaria Conjunta STN/SPU nº 3/2014, dispõe sobre procedimentos e requisitos gerais para mensuração, atualização, reavaliação e depreciação dos bens imóveis da União, autarquias e fundações públicas federais, controlados pelo </w:t>
      </w:r>
      <w:proofErr w:type="spellStart"/>
      <w:r w:rsidRPr="00F02ABE">
        <w:rPr>
          <w:color w:val="auto"/>
        </w:rPr>
        <w:t>SPIUnet</w:t>
      </w:r>
      <w:proofErr w:type="spellEnd"/>
      <w:r w:rsidRPr="00F02ABE">
        <w:rPr>
          <w:color w:val="auto"/>
        </w:rPr>
        <w:t xml:space="preserve">. </w:t>
      </w:r>
    </w:p>
    <w:p w14:paraId="5BD89412" w14:textId="77777777" w:rsidR="00CB2FF5" w:rsidRPr="00F02ABE" w:rsidRDefault="00CB2FF5" w:rsidP="00CB2FF5">
      <w:pPr>
        <w:pStyle w:val="Default"/>
        <w:ind w:left="1701"/>
        <w:jc w:val="both"/>
        <w:rPr>
          <w:color w:val="auto"/>
        </w:rPr>
      </w:pPr>
      <w:r w:rsidRPr="00F02ABE">
        <w:rPr>
          <w:color w:val="auto"/>
        </w:rPr>
        <w:t xml:space="preserve">O </w:t>
      </w:r>
      <w:proofErr w:type="spellStart"/>
      <w:r w:rsidRPr="00F02ABE">
        <w:rPr>
          <w:color w:val="auto"/>
        </w:rPr>
        <w:t>SPIUnet</w:t>
      </w:r>
      <w:proofErr w:type="spellEnd"/>
      <w:r w:rsidRPr="00F02ABE">
        <w:rPr>
          <w:color w:val="auto"/>
        </w:rPr>
        <w:t xml:space="preserve"> é um sistema de cadastro e controle de imóveis da União e de terceiros utilizados pelos Órgãos Federais, que mantém atualizado o valor patrimonial dos imóveis. O sistema é interligado ao SIAFI para o reconhecimento contábil das adições, baixas </w:t>
      </w:r>
      <w:r w:rsidRPr="00F02ABE">
        <w:rPr>
          <w:color w:val="auto"/>
        </w:rPr>
        <w:lastRenderedPageBreak/>
        <w:t xml:space="preserve">e transferências, exceto a depreciação, que por sua vez é registrado no SIAFI por meio de um arquivo que é encaminhado pela SPU à STN, para que seja contabilizado no SIAFI. </w:t>
      </w:r>
    </w:p>
    <w:p w14:paraId="1EB5631D" w14:textId="77777777" w:rsidR="00CB2FF5" w:rsidRPr="00F02ABE" w:rsidRDefault="00CB2FF5" w:rsidP="00CB2FF5">
      <w:pPr>
        <w:pStyle w:val="Default"/>
        <w:ind w:left="1701"/>
        <w:jc w:val="both"/>
        <w:rPr>
          <w:color w:val="auto"/>
        </w:rPr>
      </w:pPr>
      <w:r w:rsidRPr="00F02ABE">
        <w:rPr>
          <w:color w:val="auto"/>
        </w:rPr>
        <w:t xml:space="preserve">O valor depreciado dos bens imóveis da União, autarquias e fundações públicas federais é apurado mensal e automaticamente pelo sistema </w:t>
      </w:r>
      <w:proofErr w:type="spellStart"/>
      <w:r w:rsidRPr="00F02ABE">
        <w:rPr>
          <w:color w:val="auto"/>
        </w:rPr>
        <w:t>SPIUnet</w:t>
      </w:r>
      <w:proofErr w:type="spellEnd"/>
      <w:r w:rsidRPr="00F02ABE">
        <w:rPr>
          <w:color w:val="auto"/>
        </w:rPr>
        <w:t xml:space="preserve"> sobre o valor depreciável da acessão, utilizando-se para tanto o Método da Parábola de </w:t>
      </w:r>
      <w:proofErr w:type="spellStart"/>
      <w:r w:rsidRPr="00F02ABE">
        <w:rPr>
          <w:color w:val="auto"/>
        </w:rPr>
        <w:t>Kuentzle</w:t>
      </w:r>
      <w:proofErr w:type="spellEnd"/>
      <w:r w:rsidRPr="00F02ABE">
        <w:rPr>
          <w:color w:val="auto"/>
        </w:rPr>
        <w:t xml:space="preserve"> e a depreciação será iniciada no mesmo dia que o bem for colocado em condições de uso. </w:t>
      </w:r>
    </w:p>
    <w:p w14:paraId="2FA8160B" w14:textId="77777777" w:rsidR="00CB2FF5" w:rsidRPr="00F02ABE" w:rsidRDefault="00CB2FF5" w:rsidP="00CB2FF5">
      <w:pPr>
        <w:pStyle w:val="Default"/>
        <w:ind w:left="1701"/>
        <w:jc w:val="both"/>
        <w:rPr>
          <w:color w:val="auto"/>
        </w:rPr>
      </w:pPr>
      <w:r w:rsidRPr="00F02ABE">
        <w:rPr>
          <w:color w:val="auto"/>
        </w:rPr>
        <w:t xml:space="preserve">A vida útil será definida com base no informado pelo laudo de avaliação específico ou, na sua ausência, por parâmetros predefinidos pela SPU, segundo a natureza e características dos bens imóveis. Nos casos de bens reavaliados, independentemente do fundamento, a depreciação acumulada deve ser zerada e reiniciada a partir do novo valor. </w:t>
      </w:r>
    </w:p>
    <w:p w14:paraId="5E627AE9" w14:textId="6B210ADB" w:rsidR="00CB2FF5" w:rsidRDefault="00CB2FF5" w:rsidP="00CB2FF5">
      <w:pPr>
        <w:pStyle w:val="Default"/>
        <w:ind w:left="1701"/>
        <w:jc w:val="both"/>
        <w:rPr>
          <w:color w:val="auto"/>
        </w:rPr>
      </w:pPr>
      <w:r w:rsidRPr="00F02ABE">
        <w:rPr>
          <w:color w:val="auto"/>
        </w:rPr>
        <w:t xml:space="preserve">O registro da Depreciação de Bens Imóveis cadastrados no </w:t>
      </w:r>
      <w:proofErr w:type="spellStart"/>
      <w:r w:rsidRPr="00F02ABE">
        <w:rPr>
          <w:color w:val="auto"/>
        </w:rPr>
        <w:t>SPIUnet</w:t>
      </w:r>
      <w:proofErr w:type="spellEnd"/>
      <w:r w:rsidRPr="00F02ABE">
        <w:rPr>
          <w:color w:val="auto"/>
        </w:rPr>
        <w:t xml:space="preserve"> vem sendo realizado regularmente. </w:t>
      </w:r>
    </w:p>
    <w:p w14:paraId="6DAA5D94" w14:textId="77777777" w:rsidR="000E1666" w:rsidRDefault="000E1666" w:rsidP="00CB2FF5">
      <w:pPr>
        <w:pStyle w:val="Default"/>
        <w:ind w:left="1701"/>
        <w:jc w:val="both"/>
        <w:rPr>
          <w:color w:val="auto"/>
        </w:rPr>
      </w:pPr>
    </w:p>
    <w:p w14:paraId="5F2AA8DF" w14:textId="77777777" w:rsidR="00CB2FF5" w:rsidRDefault="00CB2FF5" w:rsidP="00CB2FF5">
      <w:pPr>
        <w:pStyle w:val="Default"/>
        <w:ind w:left="1701"/>
        <w:jc w:val="both"/>
        <w:rPr>
          <w:color w:val="auto"/>
        </w:rPr>
      </w:pPr>
    </w:p>
    <w:p w14:paraId="6C45E311" w14:textId="77777777" w:rsidR="00CB2FF5" w:rsidRDefault="00CB2FF5" w:rsidP="00CB2FF5">
      <w:pPr>
        <w:pStyle w:val="Default"/>
        <w:numPr>
          <w:ilvl w:val="1"/>
          <w:numId w:val="6"/>
        </w:numPr>
        <w:jc w:val="both"/>
        <w:rPr>
          <w:b/>
          <w:color w:val="auto"/>
        </w:rPr>
      </w:pPr>
      <w:r w:rsidRPr="00F02ABE">
        <w:rPr>
          <w:b/>
          <w:color w:val="auto"/>
        </w:rPr>
        <w:t xml:space="preserve">Intangível </w:t>
      </w:r>
    </w:p>
    <w:p w14:paraId="5024E88E" w14:textId="77777777" w:rsidR="00CB2FF5" w:rsidRPr="00F02ABE" w:rsidRDefault="00CB2FF5" w:rsidP="00CB2FF5">
      <w:pPr>
        <w:pStyle w:val="Default"/>
        <w:ind w:left="2061"/>
        <w:jc w:val="both"/>
        <w:rPr>
          <w:b/>
          <w:color w:val="auto"/>
        </w:rPr>
      </w:pPr>
    </w:p>
    <w:p w14:paraId="32FA7736" w14:textId="134CE80E"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O valor</w:t>
      </w:r>
      <w:r w:rsidR="00DB0E3B">
        <w:rPr>
          <w:rFonts w:ascii="Times New Roman" w:hAnsi="Times New Roman"/>
          <w:sz w:val="24"/>
          <w:szCs w:val="24"/>
          <w:lang w:eastAsia="pt-BR"/>
        </w:rPr>
        <w:t xml:space="preserve"> líquido</w:t>
      </w:r>
      <w:r w:rsidRPr="00F02ABE">
        <w:rPr>
          <w:rFonts w:ascii="Times New Roman" w:hAnsi="Times New Roman"/>
          <w:sz w:val="24"/>
          <w:szCs w:val="24"/>
          <w:lang w:eastAsia="pt-BR"/>
        </w:rPr>
        <w:t xml:space="preserve"> do Intangível que consta no Balanço Patrimonial do IFPI no </w:t>
      </w:r>
      <w:r w:rsidR="000E1666">
        <w:rPr>
          <w:rFonts w:ascii="Times New Roman" w:hAnsi="Times New Roman"/>
          <w:sz w:val="24"/>
          <w:szCs w:val="24"/>
          <w:lang w:eastAsia="pt-BR"/>
        </w:rPr>
        <w:t>4</w:t>
      </w:r>
      <w:r w:rsidRPr="00F02ABE">
        <w:rPr>
          <w:rFonts w:ascii="Times New Roman" w:hAnsi="Times New Roman"/>
          <w:sz w:val="24"/>
          <w:szCs w:val="24"/>
          <w:lang w:eastAsia="pt-BR"/>
        </w:rPr>
        <w:t>º trimestre de 202</w:t>
      </w:r>
      <w:r>
        <w:rPr>
          <w:rFonts w:ascii="Times New Roman" w:hAnsi="Times New Roman"/>
          <w:sz w:val="24"/>
          <w:szCs w:val="24"/>
          <w:lang w:eastAsia="pt-BR"/>
        </w:rPr>
        <w:t>4</w:t>
      </w:r>
      <w:r w:rsidRPr="00F02ABE">
        <w:rPr>
          <w:rFonts w:ascii="Times New Roman" w:hAnsi="Times New Roman"/>
          <w:sz w:val="24"/>
          <w:szCs w:val="24"/>
          <w:lang w:eastAsia="pt-BR"/>
        </w:rPr>
        <w:t xml:space="preserve"> totaliza R$ 9</w:t>
      </w:r>
      <w:r w:rsidR="00DB0E3B">
        <w:rPr>
          <w:rFonts w:ascii="Times New Roman" w:hAnsi="Times New Roman"/>
          <w:sz w:val="24"/>
          <w:szCs w:val="24"/>
          <w:lang w:eastAsia="pt-BR"/>
        </w:rPr>
        <w:t>60.418,78</w:t>
      </w:r>
      <w:r w:rsidRPr="00F02ABE">
        <w:rPr>
          <w:rFonts w:ascii="Times New Roman" w:hAnsi="Times New Roman"/>
          <w:sz w:val="24"/>
          <w:szCs w:val="24"/>
          <w:lang w:eastAsia="pt-BR"/>
        </w:rPr>
        <w:t>, sendo que o Campus de Floriano do Piauí amortizou R$ 26.937,00. A composição do Intangível encontra-se distribuída conforme tabela abaixo:</w:t>
      </w:r>
    </w:p>
    <w:p w14:paraId="4DBC3479"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Pr>
          <w:rFonts w:ascii="Times New Roman" w:hAnsi="Times New Roman"/>
          <w:sz w:val="24"/>
          <w:szCs w:val="24"/>
          <w:lang w:eastAsia="pt-BR"/>
        </w:rPr>
        <w:t xml:space="preserve">                                                                                                                       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319"/>
        <w:gridCol w:w="1275"/>
      </w:tblGrid>
      <w:tr w:rsidR="00CB2FF5" w:rsidRPr="00F02ABE" w14:paraId="5331B1B3" w14:textId="77777777" w:rsidTr="00242CBD">
        <w:tc>
          <w:tcPr>
            <w:tcW w:w="4361" w:type="dxa"/>
          </w:tcPr>
          <w:p w14:paraId="4835E856" w14:textId="77777777" w:rsidR="00CB2FF5" w:rsidRPr="00F02ABE" w:rsidRDefault="00CB2FF5" w:rsidP="00242CBD">
            <w:pPr>
              <w:pStyle w:val="Default"/>
              <w:jc w:val="both"/>
              <w:rPr>
                <w:b/>
              </w:rPr>
            </w:pPr>
            <w:r w:rsidRPr="00F02ABE">
              <w:rPr>
                <w:b/>
              </w:rPr>
              <w:t>COMPOSIÇÃO DO INTANGÍVEL</w:t>
            </w:r>
          </w:p>
        </w:tc>
        <w:tc>
          <w:tcPr>
            <w:tcW w:w="2319" w:type="dxa"/>
          </w:tcPr>
          <w:p w14:paraId="571F1809" w14:textId="0358D11F" w:rsidR="00CB2FF5" w:rsidRPr="00F02ABE" w:rsidRDefault="00CB2FF5" w:rsidP="00242CBD">
            <w:pPr>
              <w:pStyle w:val="Default"/>
              <w:jc w:val="right"/>
              <w:rPr>
                <w:b/>
              </w:rPr>
            </w:pPr>
            <w:r w:rsidRPr="00F02ABE">
              <w:rPr>
                <w:b/>
              </w:rPr>
              <w:t>3</w:t>
            </w:r>
            <w:r>
              <w:rPr>
                <w:b/>
              </w:rPr>
              <w:t>0</w:t>
            </w:r>
            <w:r w:rsidRPr="00F02ABE">
              <w:rPr>
                <w:b/>
              </w:rPr>
              <w:t>/</w:t>
            </w:r>
            <w:r>
              <w:rPr>
                <w:b/>
              </w:rPr>
              <w:t>0</w:t>
            </w:r>
            <w:r w:rsidR="00522C9C">
              <w:rPr>
                <w:b/>
              </w:rPr>
              <w:t>9</w:t>
            </w:r>
            <w:r w:rsidRPr="00F02ABE">
              <w:rPr>
                <w:b/>
              </w:rPr>
              <w:t>/202</w:t>
            </w:r>
            <w:r>
              <w:rPr>
                <w:b/>
              </w:rPr>
              <w:t>4</w:t>
            </w:r>
          </w:p>
        </w:tc>
        <w:tc>
          <w:tcPr>
            <w:tcW w:w="1275" w:type="dxa"/>
          </w:tcPr>
          <w:p w14:paraId="5EEA0794" w14:textId="34BBA150" w:rsidR="00CB2FF5" w:rsidRPr="00F02ABE" w:rsidRDefault="00CB2FF5" w:rsidP="00242CBD">
            <w:pPr>
              <w:pStyle w:val="Default"/>
              <w:jc w:val="right"/>
              <w:rPr>
                <w:b/>
              </w:rPr>
            </w:pPr>
            <w:r w:rsidRPr="00F02ABE">
              <w:rPr>
                <w:b/>
              </w:rPr>
              <w:t>AH</w:t>
            </w:r>
            <w:r w:rsidR="00511AD4">
              <w:rPr>
                <w:b/>
              </w:rPr>
              <w:t xml:space="preserve"> </w:t>
            </w:r>
            <w:r w:rsidRPr="00F02ABE">
              <w:rPr>
                <w:b/>
              </w:rPr>
              <w:t>(%)</w:t>
            </w:r>
          </w:p>
        </w:tc>
      </w:tr>
      <w:tr w:rsidR="00CB2FF5" w:rsidRPr="00F02ABE" w14:paraId="65667E72" w14:textId="77777777" w:rsidTr="00242CBD">
        <w:tc>
          <w:tcPr>
            <w:tcW w:w="4361" w:type="dxa"/>
          </w:tcPr>
          <w:p w14:paraId="347B0050" w14:textId="77777777" w:rsidR="00CB2FF5" w:rsidRPr="00F02ABE" w:rsidRDefault="00CB2FF5" w:rsidP="00242CBD">
            <w:pPr>
              <w:pStyle w:val="Default"/>
              <w:jc w:val="both"/>
            </w:pPr>
            <w:r w:rsidRPr="00F02ABE">
              <w:t>Campus Teresina Central</w:t>
            </w:r>
          </w:p>
        </w:tc>
        <w:tc>
          <w:tcPr>
            <w:tcW w:w="2319" w:type="dxa"/>
          </w:tcPr>
          <w:p w14:paraId="6DC7C032" w14:textId="77777777" w:rsidR="00CB2FF5" w:rsidRPr="00F02ABE" w:rsidRDefault="00CB2FF5" w:rsidP="00242CBD">
            <w:pPr>
              <w:pStyle w:val="Default"/>
              <w:jc w:val="right"/>
            </w:pPr>
            <w:r w:rsidRPr="00F02ABE">
              <w:t>403.275,78</w:t>
            </w:r>
          </w:p>
        </w:tc>
        <w:tc>
          <w:tcPr>
            <w:tcW w:w="1275" w:type="dxa"/>
          </w:tcPr>
          <w:p w14:paraId="232534C7" w14:textId="31D9E2CC" w:rsidR="00CB2FF5" w:rsidRPr="00F02ABE" w:rsidRDefault="00DB0E3B" w:rsidP="00242CBD">
            <w:pPr>
              <w:pStyle w:val="Default"/>
              <w:tabs>
                <w:tab w:val="left" w:pos="240"/>
                <w:tab w:val="center" w:pos="529"/>
                <w:tab w:val="center" w:pos="568"/>
                <w:tab w:val="right" w:pos="1136"/>
              </w:tabs>
              <w:jc w:val="center"/>
            </w:pPr>
            <w:r>
              <w:t>41,99</w:t>
            </w:r>
          </w:p>
        </w:tc>
      </w:tr>
      <w:tr w:rsidR="00CB2FF5" w:rsidRPr="00F02ABE" w14:paraId="56071D5F" w14:textId="77777777" w:rsidTr="00242CBD">
        <w:tc>
          <w:tcPr>
            <w:tcW w:w="4361" w:type="dxa"/>
          </w:tcPr>
          <w:p w14:paraId="280DD88C" w14:textId="77777777" w:rsidR="00CB2FF5" w:rsidRPr="00F02ABE" w:rsidRDefault="00CB2FF5" w:rsidP="00242CBD">
            <w:pPr>
              <w:pStyle w:val="Default"/>
              <w:jc w:val="both"/>
            </w:pPr>
            <w:r w:rsidRPr="00F02ABE">
              <w:t>Reitoria</w:t>
            </w:r>
          </w:p>
        </w:tc>
        <w:tc>
          <w:tcPr>
            <w:tcW w:w="2319" w:type="dxa"/>
          </w:tcPr>
          <w:p w14:paraId="36393360" w14:textId="283FEF23" w:rsidR="00CB2FF5" w:rsidRPr="00F02ABE" w:rsidRDefault="00DB0E3B" w:rsidP="00242CBD">
            <w:pPr>
              <w:pStyle w:val="Default"/>
              <w:jc w:val="right"/>
            </w:pPr>
            <w:r>
              <w:t>401.727,00</w:t>
            </w:r>
          </w:p>
        </w:tc>
        <w:tc>
          <w:tcPr>
            <w:tcW w:w="1275" w:type="dxa"/>
          </w:tcPr>
          <w:p w14:paraId="4B74AC69" w14:textId="11FDC41B" w:rsidR="00CB2FF5" w:rsidRPr="00F02ABE" w:rsidRDefault="009D0896" w:rsidP="00242CBD">
            <w:pPr>
              <w:pStyle w:val="Default"/>
              <w:jc w:val="center"/>
            </w:pPr>
            <w:r>
              <w:t>41,82</w:t>
            </w:r>
          </w:p>
        </w:tc>
      </w:tr>
      <w:tr w:rsidR="00CB2FF5" w:rsidRPr="00F02ABE" w14:paraId="01564186" w14:textId="77777777" w:rsidTr="00242CBD">
        <w:tc>
          <w:tcPr>
            <w:tcW w:w="4361" w:type="dxa"/>
          </w:tcPr>
          <w:p w14:paraId="69FEAE8F" w14:textId="77777777" w:rsidR="00CB2FF5" w:rsidRPr="00F02ABE" w:rsidRDefault="00CB2FF5" w:rsidP="00242CBD">
            <w:pPr>
              <w:pStyle w:val="Default"/>
              <w:jc w:val="both"/>
            </w:pPr>
            <w:r w:rsidRPr="00F02ABE">
              <w:t>Campus Zona Sul</w:t>
            </w:r>
          </w:p>
        </w:tc>
        <w:tc>
          <w:tcPr>
            <w:tcW w:w="2319" w:type="dxa"/>
          </w:tcPr>
          <w:p w14:paraId="6A7B971D" w14:textId="77777777" w:rsidR="00CB2FF5" w:rsidRPr="00F02ABE" w:rsidRDefault="00CB2FF5" w:rsidP="00242CBD">
            <w:pPr>
              <w:pStyle w:val="Default"/>
              <w:jc w:val="right"/>
            </w:pPr>
            <w:r w:rsidRPr="00F02ABE">
              <w:t>112.100,00</w:t>
            </w:r>
          </w:p>
        </w:tc>
        <w:tc>
          <w:tcPr>
            <w:tcW w:w="1275" w:type="dxa"/>
          </w:tcPr>
          <w:p w14:paraId="22611458" w14:textId="45DB2FE1" w:rsidR="00CB2FF5" w:rsidRPr="00F02ABE" w:rsidRDefault="009D0896" w:rsidP="00242CBD">
            <w:pPr>
              <w:pStyle w:val="Default"/>
              <w:jc w:val="center"/>
            </w:pPr>
            <w:r>
              <w:t>11,67</w:t>
            </w:r>
          </w:p>
        </w:tc>
      </w:tr>
      <w:tr w:rsidR="00CB2FF5" w:rsidRPr="00F02ABE" w14:paraId="3D25F164" w14:textId="77777777" w:rsidTr="00242CBD">
        <w:tc>
          <w:tcPr>
            <w:tcW w:w="4361" w:type="dxa"/>
          </w:tcPr>
          <w:p w14:paraId="651C6514" w14:textId="77777777" w:rsidR="00CB2FF5" w:rsidRPr="00F02ABE" w:rsidRDefault="00CB2FF5" w:rsidP="00242CBD">
            <w:pPr>
              <w:pStyle w:val="Default"/>
              <w:jc w:val="both"/>
            </w:pPr>
            <w:r w:rsidRPr="00F02ABE">
              <w:t>Demais Campi</w:t>
            </w:r>
          </w:p>
        </w:tc>
        <w:tc>
          <w:tcPr>
            <w:tcW w:w="2319" w:type="dxa"/>
          </w:tcPr>
          <w:p w14:paraId="0D5EA156" w14:textId="77777777" w:rsidR="00CB2FF5" w:rsidRPr="00F02ABE" w:rsidRDefault="00CB2FF5" w:rsidP="00242CBD">
            <w:pPr>
              <w:pStyle w:val="Default"/>
              <w:jc w:val="right"/>
            </w:pPr>
            <w:r w:rsidRPr="00F02ABE">
              <w:t>70.253,00</w:t>
            </w:r>
          </w:p>
        </w:tc>
        <w:tc>
          <w:tcPr>
            <w:tcW w:w="1275" w:type="dxa"/>
          </w:tcPr>
          <w:p w14:paraId="026022DC" w14:textId="782CA5EB" w:rsidR="00CB2FF5" w:rsidRPr="00F02ABE" w:rsidRDefault="009D0896" w:rsidP="00242CBD">
            <w:pPr>
              <w:pStyle w:val="Default"/>
              <w:jc w:val="center"/>
            </w:pPr>
            <w:r>
              <w:t>7,31</w:t>
            </w:r>
          </w:p>
        </w:tc>
      </w:tr>
      <w:tr w:rsidR="00CB2FF5" w:rsidRPr="00F02ABE" w14:paraId="1CFDFDD5" w14:textId="77777777" w:rsidTr="00242CBD">
        <w:tc>
          <w:tcPr>
            <w:tcW w:w="4361" w:type="dxa"/>
          </w:tcPr>
          <w:p w14:paraId="73AA6E42" w14:textId="77777777" w:rsidR="00CB2FF5" w:rsidRPr="00F02ABE" w:rsidRDefault="00CB2FF5" w:rsidP="00242CBD">
            <w:pPr>
              <w:pStyle w:val="Default"/>
              <w:jc w:val="both"/>
            </w:pPr>
            <w:r w:rsidRPr="00F02ABE">
              <w:t>Amortização Acumulada</w:t>
            </w:r>
          </w:p>
        </w:tc>
        <w:tc>
          <w:tcPr>
            <w:tcW w:w="2319" w:type="dxa"/>
          </w:tcPr>
          <w:p w14:paraId="6C54BE27" w14:textId="77777777" w:rsidR="00CB2FF5" w:rsidRPr="00F02ABE" w:rsidRDefault="00CB2FF5" w:rsidP="00242CBD">
            <w:pPr>
              <w:pStyle w:val="Default"/>
              <w:jc w:val="right"/>
            </w:pPr>
            <w:r w:rsidRPr="00F02ABE">
              <w:t>(26.937,00)</w:t>
            </w:r>
          </w:p>
        </w:tc>
        <w:tc>
          <w:tcPr>
            <w:tcW w:w="1275" w:type="dxa"/>
          </w:tcPr>
          <w:p w14:paraId="0A0FD8D4" w14:textId="77777777" w:rsidR="00CB2FF5" w:rsidRPr="00F02ABE" w:rsidRDefault="00CB2FF5" w:rsidP="00242CBD">
            <w:pPr>
              <w:pStyle w:val="Default"/>
              <w:jc w:val="center"/>
            </w:pPr>
            <w:r w:rsidRPr="00F02ABE">
              <w:t>-</w:t>
            </w:r>
          </w:p>
        </w:tc>
      </w:tr>
      <w:tr w:rsidR="00CB2FF5" w:rsidRPr="00F02ABE" w14:paraId="31FE173F" w14:textId="77777777" w:rsidTr="00242CBD">
        <w:tc>
          <w:tcPr>
            <w:tcW w:w="4361" w:type="dxa"/>
          </w:tcPr>
          <w:p w14:paraId="56FF8C6D" w14:textId="77777777" w:rsidR="00CB2FF5" w:rsidRPr="00F02ABE" w:rsidRDefault="00CB2FF5" w:rsidP="00242CBD">
            <w:pPr>
              <w:pStyle w:val="Default"/>
              <w:jc w:val="both"/>
              <w:rPr>
                <w:b/>
              </w:rPr>
            </w:pPr>
            <w:r w:rsidRPr="00F02ABE">
              <w:rPr>
                <w:b/>
              </w:rPr>
              <w:t>Total</w:t>
            </w:r>
          </w:p>
        </w:tc>
        <w:tc>
          <w:tcPr>
            <w:tcW w:w="2319" w:type="dxa"/>
          </w:tcPr>
          <w:p w14:paraId="24BB0658" w14:textId="2A16A57C" w:rsidR="00CB2FF5" w:rsidRPr="00F02ABE" w:rsidRDefault="00DB0E3B" w:rsidP="00242CBD">
            <w:pPr>
              <w:pStyle w:val="Default"/>
              <w:jc w:val="right"/>
              <w:rPr>
                <w:b/>
              </w:rPr>
            </w:pPr>
            <w:r>
              <w:rPr>
                <w:b/>
              </w:rPr>
              <w:t>960.418,78</w:t>
            </w:r>
          </w:p>
        </w:tc>
        <w:tc>
          <w:tcPr>
            <w:tcW w:w="1275" w:type="dxa"/>
          </w:tcPr>
          <w:p w14:paraId="35EF2228" w14:textId="77777777" w:rsidR="00CB2FF5" w:rsidRPr="00F02ABE" w:rsidRDefault="00CB2FF5" w:rsidP="00242CBD">
            <w:pPr>
              <w:pStyle w:val="Default"/>
              <w:jc w:val="center"/>
              <w:rPr>
                <w:b/>
              </w:rPr>
            </w:pPr>
            <w:r w:rsidRPr="00F02ABE">
              <w:rPr>
                <w:b/>
              </w:rPr>
              <w:t>100</w:t>
            </w:r>
          </w:p>
        </w:tc>
      </w:tr>
    </w:tbl>
    <w:p w14:paraId="7BCEA6FF" w14:textId="346426A8" w:rsidR="00CB2FF5" w:rsidRPr="004A65F3" w:rsidRDefault="00CB2FF5" w:rsidP="00CB2FF5">
      <w:pPr>
        <w:autoSpaceDE w:val="0"/>
        <w:autoSpaceDN w:val="0"/>
        <w:adjustRightInd w:val="0"/>
        <w:spacing w:after="0" w:line="240" w:lineRule="auto"/>
        <w:ind w:left="1701"/>
        <w:jc w:val="both"/>
        <w:rPr>
          <w:rFonts w:ascii="Times New Roman" w:hAnsi="Times New Roman"/>
          <w:sz w:val="20"/>
          <w:szCs w:val="20"/>
          <w:lang w:eastAsia="pt-BR"/>
        </w:rPr>
      </w:pPr>
      <w:r w:rsidRPr="004A65F3">
        <w:rPr>
          <w:rFonts w:ascii="Times New Roman" w:hAnsi="Times New Roman"/>
          <w:sz w:val="20"/>
          <w:szCs w:val="20"/>
          <w:lang w:eastAsia="pt-BR"/>
        </w:rPr>
        <w:t>Fonte: Tesouro Gerencial e SIAFI, 202</w:t>
      </w:r>
      <w:r w:rsidR="00A90464">
        <w:rPr>
          <w:rFonts w:ascii="Times New Roman" w:hAnsi="Times New Roman"/>
          <w:sz w:val="20"/>
          <w:szCs w:val="20"/>
          <w:lang w:eastAsia="pt-BR"/>
        </w:rPr>
        <w:t>4</w:t>
      </w:r>
      <w:r w:rsidRPr="004A65F3">
        <w:rPr>
          <w:rFonts w:ascii="Times New Roman" w:hAnsi="Times New Roman"/>
          <w:sz w:val="20"/>
          <w:szCs w:val="20"/>
          <w:lang w:eastAsia="pt-BR"/>
        </w:rPr>
        <w:t xml:space="preserve"> e 202</w:t>
      </w:r>
      <w:r w:rsidR="00A90464">
        <w:rPr>
          <w:rFonts w:ascii="Times New Roman" w:hAnsi="Times New Roman"/>
          <w:sz w:val="20"/>
          <w:szCs w:val="20"/>
          <w:lang w:eastAsia="pt-BR"/>
        </w:rPr>
        <w:t>3</w:t>
      </w:r>
      <w:r w:rsidRPr="004A65F3">
        <w:rPr>
          <w:rFonts w:ascii="Times New Roman" w:hAnsi="Times New Roman"/>
          <w:sz w:val="20"/>
          <w:szCs w:val="20"/>
          <w:lang w:eastAsia="pt-BR"/>
        </w:rPr>
        <w:t>.</w:t>
      </w:r>
    </w:p>
    <w:p w14:paraId="47CF99D6" w14:textId="77777777" w:rsidR="00811F3A" w:rsidRDefault="00811F3A" w:rsidP="00CB2FF5">
      <w:pPr>
        <w:pStyle w:val="Default"/>
        <w:ind w:left="1701"/>
        <w:jc w:val="both"/>
        <w:rPr>
          <w:b/>
          <w:bCs/>
        </w:rPr>
      </w:pPr>
    </w:p>
    <w:p w14:paraId="35E20621" w14:textId="7E16B2A0" w:rsidR="00CB2FF5" w:rsidRPr="00F02ABE" w:rsidRDefault="00CB2FF5" w:rsidP="00CB2FF5">
      <w:pPr>
        <w:pStyle w:val="Default"/>
        <w:ind w:left="1701"/>
        <w:jc w:val="both"/>
        <w:rPr>
          <w:b/>
          <w:bCs/>
        </w:rPr>
      </w:pPr>
      <w:r w:rsidRPr="00F02ABE">
        <w:rPr>
          <w:b/>
          <w:bCs/>
        </w:rPr>
        <w:lastRenderedPageBreak/>
        <w:t xml:space="preserve">7.4 Fornecedores e Credores nacionais </w:t>
      </w:r>
    </w:p>
    <w:p w14:paraId="3B11FB8D" w14:textId="77777777" w:rsidR="00CB2FF5" w:rsidRPr="00F02ABE" w:rsidRDefault="00CB2FF5" w:rsidP="00CB2FF5">
      <w:pPr>
        <w:pStyle w:val="Default"/>
        <w:ind w:left="1701"/>
        <w:jc w:val="both"/>
      </w:pPr>
    </w:p>
    <w:p w14:paraId="3BEC28B7" w14:textId="1F973656" w:rsidR="00CB2FF5" w:rsidRPr="00F02ABE" w:rsidRDefault="00CB2FF5" w:rsidP="00CB2FF5">
      <w:pPr>
        <w:pStyle w:val="Default"/>
        <w:ind w:left="1701"/>
        <w:jc w:val="both"/>
      </w:pPr>
      <w:r w:rsidRPr="00F02ABE">
        <w:t xml:space="preserve">Em </w:t>
      </w:r>
      <w:r>
        <w:t>3</w:t>
      </w:r>
      <w:r w:rsidR="00A54DCF">
        <w:t>1</w:t>
      </w:r>
      <w:r w:rsidRPr="00F02ABE">
        <w:t>/</w:t>
      </w:r>
      <w:r w:rsidR="00A54DCF">
        <w:t>12</w:t>
      </w:r>
      <w:r w:rsidRPr="00F02ABE">
        <w:t>/202</w:t>
      </w:r>
      <w:r>
        <w:t>4</w:t>
      </w:r>
      <w:r w:rsidRPr="00F02ABE">
        <w:t xml:space="preserve">, o IFPI apresentou um saldo de </w:t>
      </w:r>
      <w:r w:rsidRPr="00F02ABE">
        <w:rPr>
          <w:b/>
          <w:bCs/>
        </w:rPr>
        <w:t xml:space="preserve">R$ </w:t>
      </w:r>
      <w:r w:rsidR="00A54DCF">
        <w:rPr>
          <w:b/>
          <w:bCs/>
        </w:rPr>
        <w:t>2.823.596,94</w:t>
      </w:r>
      <w:r w:rsidRPr="00F02ABE">
        <w:t xml:space="preserve">, relacionado a Fornecedores e Contas a Pagar, referentes a Obrigações de Curto Prazo. </w:t>
      </w:r>
    </w:p>
    <w:p w14:paraId="6DE2BBCF" w14:textId="32746B8B" w:rsidR="00CB2FF5" w:rsidRDefault="00CB2FF5" w:rsidP="00CB2FF5">
      <w:pPr>
        <w:pStyle w:val="Default"/>
        <w:ind w:left="1701"/>
        <w:jc w:val="both"/>
      </w:pPr>
      <w:r w:rsidRPr="00F02ABE">
        <w:t xml:space="preserve">A Tabela adiante, apresenta a evolução da composição de Fornecedores e Contas a Pagar, e prazo de exigibilidade, Circulante.  </w:t>
      </w:r>
    </w:p>
    <w:p w14:paraId="2E4BF168" w14:textId="77777777" w:rsidR="00CB2FF5" w:rsidRPr="00F02ABE" w:rsidRDefault="00CB2FF5" w:rsidP="00CB2FF5">
      <w:pPr>
        <w:pStyle w:val="Default"/>
        <w:ind w:left="1701"/>
        <w:jc w:val="both"/>
      </w:pPr>
    </w:p>
    <w:p w14:paraId="3278EA57" w14:textId="77777777" w:rsidR="00CB2FF5" w:rsidRPr="00F02ABE" w:rsidRDefault="00CB2FF5" w:rsidP="00CB2FF5">
      <w:pPr>
        <w:pStyle w:val="Default"/>
        <w:ind w:left="1701"/>
        <w:jc w:val="both"/>
        <w:rPr>
          <w:b/>
          <w:bCs/>
        </w:rPr>
      </w:pPr>
      <w:r w:rsidRPr="00F02ABE">
        <w:rPr>
          <w:b/>
          <w:bCs/>
        </w:rPr>
        <w:t xml:space="preserve">Tabela 12 - Fornecedores e Contas a Pagar - Composição. </w:t>
      </w:r>
    </w:p>
    <w:p w14:paraId="63C2D0FD" w14:textId="087FC4DB" w:rsidR="00CB2FF5" w:rsidRPr="00F02ABE" w:rsidRDefault="00CB2FF5" w:rsidP="00CB2FF5">
      <w:pPr>
        <w:pStyle w:val="Default"/>
        <w:ind w:left="1701"/>
        <w:jc w:val="both"/>
      </w:pPr>
      <w:r w:rsidRPr="00F02ABE">
        <w:t xml:space="preserve">                                                                                                                                                                </w:t>
      </w:r>
      <w:r w:rsidR="00450CFF">
        <w:t xml:space="preserve">                    </w:t>
      </w:r>
      <w:r w:rsidRPr="00F02ABE">
        <w:t>R$1,00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319"/>
        <w:gridCol w:w="2359"/>
        <w:gridCol w:w="1275"/>
        <w:gridCol w:w="1275"/>
      </w:tblGrid>
      <w:tr w:rsidR="0074683F" w:rsidRPr="00F02ABE" w14:paraId="09B8BE3D" w14:textId="220CF0ED" w:rsidTr="005157DE">
        <w:tc>
          <w:tcPr>
            <w:tcW w:w="4361" w:type="dxa"/>
          </w:tcPr>
          <w:p w14:paraId="43D85B64" w14:textId="77777777" w:rsidR="0074683F" w:rsidRPr="00F02ABE" w:rsidRDefault="0074683F" w:rsidP="00242CBD">
            <w:pPr>
              <w:pStyle w:val="Default"/>
              <w:jc w:val="both"/>
              <w:rPr>
                <w:b/>
              </w:rPr>
            </w:pPr>
            <w:r w:rsidRPr="00F02ABE">
              <w:rPr>
                <w:b/>
              </w:rPr>
              <w:t xml:space="preserve">COMPOSIÇÃO DE FORNECEDORES </w:t>
            </w:r>
          </w:p>
        </w:tc>
        <w:tc>
          <w:tcPr>
            <w:tcW w:w="2319" w:type="dxa"/>
          </w:tcPr>
          <w:p w14:paraId="5E36F13B" w14:textId="55F5CE60" w:rsidR="0074683F" w:rsidRPr="00F02ABE" w:rsidRDefault="0074683F" w:rsidP="00242CBD">
            <w:pPr>
              <w:pStyle w:val="Default"/>
              <w:jc w:val="right"/>
              <w:rPr>
                <w:b/>
              </w:rPr>
            </w:pPr>
            <w:r w:rsidRPr="00F02ABE">
              <w:rPr>
                <w:b/>
              </w:rPr>
              <w:t>3</w:t>
            </w:r>
            <w:r w:rsidR="00A54DCF">
              <w:rPr>
                <w:b/>
              </w:rPr>
              <w:t>1</w:t>
            </w:r>
            <w:r w:rsidRPr="00F02ABE">
              <w:rPr>
                <w:b/>
              </w:rPr>
              <w:t>/</w:t>
            </w:r>
            <w:r w:rsidR="00A54DCF">
              <w:rPr>
                <w:b/>
              </w:rPr>
              <w:t>12</w:t>
            </w:r>
            <w:r w:rsidRPr="00F02ABE">
              <w:rPr>
                <w:b/>
              </w:rPr>
              <w:t>/202</w:t>
            </w:r>
            <w:r>
              <w:rPr>
                <w:b/>
              </w:rPr>
              <w:t>4</w:t>
            </w:r>
          </w:p>
        </w:tc>
        <w:tc>
          <w:tcPr>
            <w:tcW w:w="2359" w:type="dxa"/>
          </w:tcPr>
          <w:p w14:paraId="7CD13F78" w14:textId="77777777" w:rsidR="0074683F" w:rsidRPr="00F02ABE" w:rsidRDefault="0074683F" w:rsidP="00242CBD">
            <w:pPr>
              <w:pStyle w:val="Default"/>
              <w:jc w:val="right"/>
              <w:rPr>
                <w:b/>
              </w:rPr>
            </w:pPr>
            <w:r w:rsidRPr="00F02ABE">
              <w:rPr>
                <w:b/>
              </w:rPr>
              <w:t>31/12/202</w:t>
            </w:r>
            <w:r>
              <w:rPr>
                <w:b/>
              </w:rPr>
              <w:t>3</w:t>
            </w:r>
          </w:p>
        </w:tc>
        <w:tc>
          <w:tcPr>
            <w:tcW w:w="1275" w:type="dxa"/>
          </w:tcPr>
          <w:p w14:paraId="027CD309" w14:textId="77777777" w:rsidR="0074683F" w:rsidRPr="00F02ABE" w:rsidRDefault="0074683F" w:rsidP="00242CBD">
            <w:pPr>
              <w:pStyle w:val="Default"/>
              <w:jc w:val="right"/>
              <w:rPr>
                <w:b/>
              </w:rPr>
            </w:pPr>
            <w:r w:rsidRPr="00F02ABE">
              <w:rPr>
                <w:b/>
              </w:rPr>
              <w:t>AH(%)</w:t>
            </w:r>
          </w:p>
        </w:tc>
        <w:tc>
          <w:tcPr>
            <w:tcW w:w="1275" w:type="dxa"/>
          </w:tcPr>
          <w:p w14:paraId="658389AA" w14:textId="4F5C249D" w:rsidR="0074683F" w:rsidRPr="00F02ABE" w:rsidRDefault="0074683F" w:rsidP="0074683F">
            <w:pPr>
              <w:pStyle w:val="Default"/>
              <w:jc w:val="center"/>
              <w:rPr>
                <w:b/>
              </w:rPr>
            </w:pPr>
            <w:r>
              <w:rPr>
                <w:b/>
              </w:rPr>
              <w:t>AV(%)</w:t>
            </w:r>
          </w:p>
        </w:tc>
      </w:tr>
      <w:tr w:rsidR="00E61644" w:rsidRPr="00F02ABE" w14:paraId="75FE1920" w14:textId="0245293C" w:rsidTr="005157DE">
        <w:tc>
          <w:tcPr>
            <w:tcW w:w="4361" w:type="dxa"/>
          </w:tcPr>
          <w:p w14:paraId="0F66E5F5" w14:textId="77777777" w:rsidR="00E61644" w:rsidRPr="00F02ABE" w:rsidRDefault="00E61644" w:rsidP="00E61644">
            <w:pPr>
              <w:pStyle w:val="Default"/>
              <w:jc w:val="both"/>
            </w:pPr>
            <w:r w:rsidRPr="00F02ABE">
              <w:t>C</w:t>
            </w:r>
            <w:r>
              <w:t>urto Prazo</w:t>
            </w:r>
          </w:p>
        </w:tc>
        <w:tc>
          <w:tcPr>
            <w:tcW w:w="2319" w:type="dxa"/>
          </w:tcPr>
          <w:p w14:paraId="7990B086" w14:textId="67EC54C0" w:rsidR="00E61644" w:rsidRPr="001F6FD6" w:rsidRDefault="00E61644" w:rsidP="00E61644">
            <w:pPr>
              <w:spacing w:after="0" w:line="240" w:lineRule="auto"/>
              <w:jc w:val="right"/>
              <w:rPr>
                <w:rFonts w:ascii="Times New Roman" w:hAnsi="Times New Roman"/>
                <w:sz w:val="24"/>
                <w:szCs w:val="24"/>
              </w:rPr>
            </w:pPr>
            <w:r w:rsidRPr="001F6FD6">
              <w:rPr>
                <w:rFonts w:ascii="Times New Roman" w:hAnsi="Times New Roman"/>
                <w:sz w:val="24"/>
                <w:szCs w:val="24"/>
              </w:rPr>
              <w:t>2.</w:t>
            </w:r>
            <w:r w:rsidR="00A54DCF">
              <w:rPr>
                <w:rFonts w:ascii="Times New Roman" w:hAnsi="Times New Roman"/>
                <w:sz w:val="24"/>
                <w:szCs w:val="24"/>
              </w:rPr>
              <w:t>823.596,94</w:t>
            </w:r>
            <w:r w:rsidRPr="001F6FD6">
              <w:rPr>
                <w:rFonts w:ascii="Times New Roman" w:hAnsi="Times New Roman"/>
                <w:sz w:val="24"/>
                <w:szCs w:val="24"/>
              </w:rPr>
              <w:t xml:space="preserve"> </w:t>
            </w:r>
          </w:p>
        </w:tc>
        <w:tc>
          <w:tcPr>
            <w:tcW w:w="2359" w:type="dxa"/>
          </w:tcPr>
          <w:p w14:paraId="3ED0EF0A" w14:textId="77777777" w:rsidR="00E61644" w:rsidRPr="00F02ABE" w:rsidRDefault="00E61644" w:rsidP="00E61644">
            <w:pPr>
              <w:pStyle w:val="Default"/>
              <w:jc w:val="right"/>
            </w:pPr>
            <w:r>
              <w:t>829.278,78</w:t>
            </w:r>
          </w:p>
        </w:tc>
        <w:tc>
          <w:tcPr>
            <w:tcW w:w="1275" w:type="dxa"/>
          </w:tcPr>
          <w:p w14:paraId="706F3982" w14:textId="0390A857" w:rsidR="00E61644" w:rsidRPr="00F02ABE" w:rsidRDefault="00A54DCF" w:rsidP="00E61644">
            <w:pPr>
              <w:pStyle w:val="Default"/>
              <w:tabs>
                <w:tab w:val="left" w:pos="240"/>
                <w:tab w:val="center" w:pos="529"/>
                <w:tab w:val="center" w:pos="568"/>
                <w:tab w:val="right" w:pos="1136"/>
              </w:tabs>
              <w:jc w:val="center"/>
            </w:pPr>
            <w:r>
              <w:t>240,49</w:t>
            </w:r>
          </w:p>
        </w:tc>
        <w:tc>
          <w:tcPr>
            <w:tcW w:w="1275" w:type="dxa"/>
          </w:tcPr>
          <w:p w14:paraId="324B9A8B" w14:textId="0DBAD846" w:rsidR="00E61644" w:rsidRDefault="00A54DCF" w:rsidP="00E61644">
            <w:pPr>
              <w:pStyle w:val="Default"/>
              <w:tabs>
                <w:tab w:val="left" w:pos="240"/>
                <w:tab w:val="center" w:pos="529"/>
                <w:tab w:val="center" w:pos="568"/>
                <w:tab w:val="right" w:pos="1136"/>
              </w:tabs>
              <w:jc w:val="center"/>
            </w:pPr>
            <w:r>
              <w:t>1,72</w:t>
            </w:r>
          </w:p>
        </w:tc>
      </w:tr>
      <w:tr w:rsidR="00A54DCF" w:rsidRPr="00F02ABE" w14:paraId="2D1A5AE2" w14:textId="1974A5BC" w:rsidTr="005157DE">
        <w:tc>
          <w:tcPr>
            <w:tcW w:w="4361" w:type="dxa"/>
          </w:tcPr>
          <w:p w14:paraId="3016C5DB" w14:textId="77777777" w:rsidR="00A54DCF" w:rsidRPr="00F02ABE" w:rsidRDefault="00A54DCF" w:rsidP="00A54DCF">
            <w:pPr>
              <w:pStyle w:val="Default"/>
              <w:jc w:val="both"/>
            </w:pPr>
            <w:r w:rsidRPr="00F02ABE">
              <w:t>Nacionais</w:t>
            </w:r>
          </w:p>
        </w:tc>
        <w:tc>
          <w:tcPr>
            <w:tcW w:w="2319" w:type="dxa"/>
          </w:tcPr>
          <w:p w14:paraId="74B12551" w14:textId="627D4025" w:rsidR="00A54DCF" w:rsidRPr="000D0A3F" w:rsidRDefault="00A54DCF" w:rsidP="00A54DCF">
            <w:pPr>
              <w:pStyle w:val="Default"/>
              <w:jc w:val="right"/>
            </w:pPr>
            <w:r w:rsidRPr="00247087">
              <w:t xml:space="preserve">2.823.596,94 </w:t>
            </w:r>
          </w:p>
        </w:tc>
        <w:tc>
          <w:tcPr>
            <w:tcW w:w="2359" w:type="dxa"/>
          </w:tcPr>
          <w:p w14:paraId="4AF18E8F" w14:textId="77777777" w:rsidR="00A54DCF" w:rsidRPr="00F02ABE" w:rsidRDefault="00A54DCF" w:rsidP="00A54DCF">
            <w:pPr>
              <w:pStyle w:val="Default"/>
              <w:jc w:val="right"/>
            </w:pPr>
            <w:r>
              <w:t>829.278,78</w:t>
            </w:r>
          </w:p>
        </w:tc>
        <w:tc>
          <w:tcPr>
            <w:tcW w:w="1275" w:type="dxa"/>
          </w:tcPr>
          <w:p w14:paraId="2FF6E0C9" w14:textId="6646A8E1" w:rsidR="00A54DCF" w:rsidRPr="00F02ABE" w:rsidRDefault="00A54DCF" w:rsidP="00A54DCF">
            <w:pPr>
              <w:pStyle w:val="Default"/>
              <w:jc w:val="center"/>
            </w:pPr>
            <w:r w:rsidRPr="00442B17">
              <w:t>240,49</w:t>
            </w:r>
          </w:p>
        </w:tc>
        <w:tc>
          <w:tcPr>
            <w:tcW w:w="1275" w:type="dxa"/>
          </w:tcPr>
          <w:p w14:paraId="2B06E29B" w14:textId="5980216E" w:rsidR="00A54DCF" w:rsidRDefault="00A54DCF" w:rsidP="00A54DCF">
            <w:pPr>
              <w:pStyle w:val="Default"/>
              <w:jc w:val="center"/>
            </w:pPr>
            <w:r w:rsidRPr="000D1FC6">
              <w:t>1,72</w:t>
            </w:r>
          </w:p>
        </w:tc>
      </w:tr>
      <w:tr w:rsidR="00A54DCF" w:rsidRPr="00F02ABE" w14:paraId="5C55B705" w14:textId="42302ED2" w:rsidTr="005157DE">
        <w:tc>
          <w:tcPr>
            <w:tcW w:w="4361" w:type="dxa"/>
          </w:tcPr>
          <w:p w14:paraId="671D5E1A" w14:textId="77777777" w:rsidR="00A54DCF" w:rsidRPr="00F02ABE" w:rsidRDefault="00A54DCF" w:rsidP="00A54DCF">
            <w:pPr>
              <w:pStyle w:val="Default"/>
              <w:jc w:val="both"/>
              <w:rPr>
                <w:b/>
              </w:rPr>
            </w:pPr>
            <w:r w:rsidRPr="00F02ABE">
              <w:rPr>
                <w:b/>
              </w:rPr>
              <w:t>Total</w:t>
            </w:r>
          </w:p>
        </w:tc>
        <w:tc>
          <w:tcPr>
            <w:tcW w:w="2319" w:type="dxa"/>
          </w:tcPr>
          <w:p w14:paraId="6CAFE8A7" w14:textId="38950A3E" w:rsidR="00A54DCF" w:rsidRPr="0048784D" w:rsidRDefault="00A54DCF" w:rsidP="00A54DCF">
            <w:pPr>
              <w:pStyle w:val="Default"/>
              <w:jc w:val="right"/>
              <w:rPr>
                <w:b/>
                <w:bCs/>
              </w:rPr>
            </w:pPr>
            <w:r w:rsidRPr="0048784D">
              <w:rPr>
                <w:b/>
                <w:bCs/>
              </w:rPr>
              <w:t xml:space="preserve">2.823.596,94 </w:t>
            </w:r>
          </w:p>
        </w:tc>
        <w:tc>
          <w:tcPr>
            <w:tcW w:w="2359" w:type="dxa"/>
          </w:tcPr>
          <w:p w14:paraId="337D4D5F" w14:textId="77777777" w:rsidR="00A54DCF" w:rsidRPr="00276FEE" w:rsidRDefault="00A54DCF" w:rsidP="00A54DCF">
            <w:pPr>
              <w:pStyle w:val="Default"/>
              <w:jc w:val="right"/>
              <w:rPr>
                <w:b/>
                <w:bCs/>
              </w:rPr>
            </w:pPr>
            <w:r w:rsidRPr="00B91477">
              <w:rPr>
                <w:b/>
                <w:bCs/>
              </w:rPr>
              <w:t>829.278,78</w:t>
            </w:r>
          </w:p>
        </w:tc>
        <w:tc>
          <w:tcPr>
            <w:tcW w:w="1275" w:type="dxa"/>
          </w:tcPr>
          <w:p w14:paraId="690E1558" w14:textId="38F51C50" w:rsidR="00A54DCF" w:rsidRPr="000D0A3F" w:rsidRDefault="00A54DCF" w:rsidP="00A54DCF">
            <w:pPr>
              <w:pStyle w:val="Default"/>
              <w:jc w:val="center"/>
              <w:rPr>
                <w:b/>
                <w:bCs/>
              </w:rPr>
            </w:pPr>
            <w:r w:rsidRPr="00442B17">
              <w:t>240,49</w:t>
            </w:r>
          </w:p>
        </w:tc>
        <w:tc>
          <w:tcPr>
            <w:tcW w:w="1275" w:type="dxa"/>
          </w:tcPr>
          <w:p w14:paraId="4D811850" w14:textId="4C4E754F" w:rsidR="00A54DCF" w:rsidRDefault="00A54DCF" w:rsidP="00A54DCF">
            <w:pPr>
              <w:pStyle w:val="Default"/>
              <w:jc w:val="center"/>
            </w:pPr>
            <w:r w:rsidRPr="000D1FC6">
              <w:t>1,72</w:t>
            </w:r>
          </w:p>
        </w:tc>
      </w:tr>
    </w:tbl>
    <w:p w14:paraId="5F5B23CA" w14:textId="77777777" w:rsidR="00CB2FF5" w:rsidRPr="009A7652" w:rsidRDefault="00CB2FF5" w:rsidP="00CB2FF5">
      <w:pPr>
        <w:autoSpaceDE w:val="0"/>
        <w:autoSpaceDN w:val="0"/>
        <w:adjustRightInd w:val="0"/>
        <w:spacing w:after="0" w:line="240" w:lineRule="auto"/>
        <w:ind w:left="1701"/>
        <w:jc w:val="both"/>
        <w:rPr>
          <w:rFonts w:ascii="Times New Roman" w:hAnsi="Times New Roman"/>
          <w:sz w:val="20"/>
          <w:szCs w:val="20"/>
          <w:lang w:eastAsia="pt-BR"/>
        </w:rPr>
      </w:pPr>
      <w:r w:rsidRPr="009A7652">
        <w:rPr>
          <w:rFonts w:ascii="Times New Roman" w:hAnsi="Times New Roman"/>
          <w:sz w:val="20"/>
          <w:szCs w:val="20"/>
          <w:lang w:eastAsia="pt-BR"/>
        </w:rPr>
        <w:t>Fonte: Tesouro Gerencial e SIAFI, 2024 e 2023.</w:t>
      </w:r>
    </w:p>
    <w:p w14:paraId="277F5AB2"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5BC72BD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Verifica-se que 100% dos Fornecedores e Contas a Pagar são de curto prazo e são Fornecedores Nacionais.</w:t>
      </w:r>
    </w:p>
    <w:p w14:paraId="02E9B465" w14:textId="0BB3B451" w:rsidR="00CB2FF5" w:rsidRPr="00F02ABE" w:rsidRDefault="00CB2FF5" w:rsidP="00CB2FF5">
      <w:pPr>
        <w:pStyle w:val="Default"/>
        <w:ind w:left="1701"/>
        <w:jc w:val="both"/>
      </w:pPr>
      <w:r w:rsidRPr="00F02ABE">
        <w:t>Na próxima tabela, estão demonstradas as Unidades Gestoras contratantes com os valores mais expressivos de Fornecedores e Contas a Pagar na data base de 3</w:t>
      </w:r>
      <w:r w:rsidR="00943F10">
        <w:t>1</w:t>
      </w:r>
      <w:r w:rsidRPr="00F02ABE">
        <w:t>/</w:t>
      </w:r>
      <w:r w:rsidR="00943F10">
        <w:t>12</w:t>
      </w:r>
      <w:r w:rsidRPr="00F02ABE">
        <w:t>/202</w:t>
      </w:r>
      <w:r>
        <w:t>4</w:t>
      </w:r>
      <w:r w:rsidRPr="00F02ABE">
        <w:t xml:space="preserve">. Pela análise dos dados, o item Contas a Pagar e Credores Nacionais de Curto Prazo, apresenta o saldo de </w:t>
      </w:r>
      <w:r w:rsidRPr="002C70AD">
        <w:rPr>
          <w:b/>
          <w:bCs/>
        </w:rPr>
        <w:t>R$</w:t>
      </w:r>
      <w:r w:rsidRPr="00F02ABE">
        <w:t xml:space="preserve"> </w:t>
      </w:r>
      <w:r w:rsidR="00943F10" w:rsidRPr="0048784D">
        <w:rPr>
          <w:b/>
          <w:bCs/>
        </w:rPr>
        <w:t>2.823.596,94</w:t>
      </w:r>
      <w:r w:rsidRPr="00F02ABE">
        <w:t xml:space="preserve">, e representa o montante a ser pago a fornecedores no IFPI no final do mês de </w:t>
      </w:r>
      <w:r w:rsidR="00943F10">
        <w:t>dezembro</w:t>
      </w:r>
      <w:r>
        <w:t xml:space="preserve"> de 2024</w:t>
      </w:r>
      <w:r w:rsidRPr="00F02ABE">
        <w:t xml:space="preserve">. </w:t>
      </w:r>
    </w:p>
    <w:p w14:paraId="5ABA3FA3" w14:textId="77777777" w:rsidR="00CB2FF5" w:rsidRPr="00F02ABE" w:rsidRDefault="00CB2FF5" w:rsidP="00CB2FF5">
      <w:pPr>
        <w:pStyle w:val="Default"/>
        <w:ind w:left="1701"/>
        <w:jc w:val="both"/>
        <w:rPr>
          <w:b/>
          <w:bCs/>
        </w:rPr>
      </w:pPr>
    </w:p>
    <w:p w14:paraId="36282BDB" w14:textId="77777777" w:rsidR="00CB2FF5" w:rsidRPr="00F02ABE" w:rsidRDefault="00CB2FF5" w:rsidP="00CB2FF5">
      <w:pPr>
        <w:pStyle w:val="Default"/>
        <w:ind w:left="1701"/>
        <w:jc w:val="both"/>
      </w:pPr>
      <w:r w:rsidRPr="00F02ABE">
        <w:rPr>
          <w:b/>
          <w:bCs/>
        </w:rPr>
        <w:t xml:space="preserve">Tabela 13 -Fornecedores e Contas a Pagar - Por Órgão Contratante. </w:t>
      </w:r>
    </w:p>
    <w:p w14:paraId="3E2740A8"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                                                                                                                                         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2268"/>
        <w:gridCol w:w="1418"/>
      </w:tblGrid>
      <w:tr w:rsidR="0048784D" w:rsidRPr="00F02ABE" w14:paraId="5F69CF01" w14:textId="77777777" w:rsidTr="000343AC">
        <w:tc>
          <w:tcPr>
            <w:tcW w:w="5353" w:type="dxa"/>
          </w:tcPr>
          <w:p w14:paraId="02E84D8B" w14:textId="77777777" w:rsidR="0048784D" w:rsidRPr="00F02ABE" w:rsidRDefault="0048784D" w:rsidP="00242CBD">
            <w:pPr>
              <w:autoSpaceDE w:val="0"/>
              <w:autoSpaceDN w:val="0"/>
              <w:adjustRightInd w:val="0"/>
              <w:spacing w:after="0" w:line="240" w:lineRule="auto"/>
              <w:jc w:val="both"/>
              <w:rPr>
                <w:rFonts w:ascii="Times New Roman" w:hAnsi="Times New Roman"/>
                <w:b/>
                <w:sz w:val="24"/>
                <w:szCs w:val="24"/>
                <w:lang w:eastAsia="pt-BR"/>
              </w:rPr>
            </w:pPr>
            <w:r w:rsidRPr="00F02ABE">
              <w:rPr>
                <w:rFonts w:ascii="Times New Roman" w:hAnsi="Times New Roman"/>
                <w:b/>
                <w:sz w:val="24"/>
                <w:szCs w:val="24"/>
                <w:lang w:eastAsia="pt-BR"/>
              </w:rPr>
              <w:t>UNIDADES GESTORAS CONTRATANTES</w:t>
            </w:r>
          </w:p>
        </w:tc>
        <w:tc>
          <w:tcPr>
            <w:tcW w:w="2268" w:type="dxa"/>
          </w:tcPr>
          <w:p w14:paraId="24F37F2D" w14:textId="7DE7D116" w:rsidR="0048784D" w:rsidRPr="00F02ABE" w:rsidRDefault="0048784D"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3</w:t>
            </w:r>
            <w:r>
              <w:rPr>
                <w:rFonts w:ascii="Times New Roman" w:hAnsi="Times New Roman"/>
                <w:b/>
                <w:sz w:val="24"/>
                <w:szCs w:val="24"/>
                <w:lang w:eastAsia="pt-BR"/>
              </w:rPr>
              <w:t>1/12/2024</w:t>
            </w:r>
          </w:p>
        </w:tc>
        <w:tc>
          <w:tcPr>
            <w:tcW w:w="1418" w:type="dxa"/>
          </w:tcPr>
          <w:p w14:paraId="2C62A53D" w14:textId="5DE675D1" w:rsidR="0048784D" w:rsidRPr="00F02ABE" w:rsidRDefault="0048784D"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AV(%)</w:t>
            </w:r>
          </w:p>
        </w:tc>
      </w:tr>
      <w:tr w:rsidR="0048784D" w:rsidRPr="00F02ABE" w14:paraId="76B7F2E0" w14:textId="77777777" w:rsidTr="000343AC">
        <w:tc>
          <w:tcPr>
            <w:tcW w:w="5353" w:type="dxa"/>
          </w:tcPr>
          <w:p w14:paraId="79373BE4" w14:textId="77777777" w:rsidR="0048784D" w:rsidRPr="00F02ABE" w:rsidRDefault="0048784D" w:rsidP="00242CBD">
            <w:pPr>
              <w:autoSpaceDE w:val="0"/>
              <w:autoSpaceDN w:val="0"/>
              <w:adjustRightInd w:val="0"/>
              <w:spacing w:after="0" w:line="240" w:lineRule="auto"/>
              <w:jc w:val="both"/>
              <w:rPr>
                <w:rFonts w:ascii="Times New Roman" w:hAnsi="Times New Roman"/>
                <w:b/>
                <w:bCs/>
                <w:sz w:val="24"/>
                <w:szCs w:val="24"/>
                <w:lang w:eastAsia="pt-BR"/>
              </w:rPr>
            </w:pPr>
            <w:r w:rsidRPr="00F02ABE">
              <w:rPr>
                <w:rFonts w:ascii="Times New Roman" w:hAnsi="Times New Roman"/>
                <w:b/>
                <w:bCs/>
                <w:sz w:val="24"/>
                <w:szCs w:val="24"/>
                <w:lang w:eastAsia="pt-BR"/>
              </w:rPr>
              <w:t>158</w:t>
            </w:r>
            <w:r>
              <w:rPr>
                <w:rFonts w:ascii="Times New Roman" w:hAnsi="Times New Roman"/>
                <w:b/>
                <w:bCs/>
                <w:sz w:val="24"/>
                <w:szCs w:val="24"/>
                <w:lang w:eastAsia="pt-BR"/>
              </w:rPr>
              <w:t>146</w:t>
            </w:r>
            <w:r w:rsidRPr="00F02ABE">
              <w:rPr>
                <w:rFonts w:ascii="Times New Roman" w:hAnsi="Times New Roman"/>
                <w:b/>
                <w:bCs/>
                <w:sz w:val="24"/>
                <w:szCs w:val="24"/>
                <w:lang w:eastAsia="pt-BR"/>
              </w:rPr>
              <w:t xml:space="preserve"> – </w:t>
            </w:r>
            <w:r>
              <w:rPr>
                <w:rFonts w:ascii="Times New Roman" w:hAnsi="Times New Roman"/>
                <w:b/>
                <w:bCs/>
                <w:sz w:val="24"/>
                <w:szCs w:val="24"/>
                <w:lang w:eastAsia="pt-BR"/>
              </w:rPr>
              <w:t>Reitoria</w:t>
            </w:r>
          </w:p>
        </w:tc>
        <w:tc>
          <w:tcPr>
            <w:tcW w:w="2268" w:type="dxa"/>
          </w:tcPr>
          <w:p w14:paraId="5701948F" w14:textId="6C2DB981" w:rsidR="0048784D" w:rsidRPr="00F02ABE" w:rsidRDefault="0048784D" w:rsidP="00242CBD">
            <w:pPr>
              <w:autoSpaceDE w:val="0"/>
              <w:autoSpaceDN w:val="0"/>
              <w:adjustRightInd w:val="0"/>
              <w:spacing w:after="0" w:line="240" w:lineRule="auto"/>
              <w:jc w:val="right"/>
              <w:rPr>
                <w:rFonts w:ascii="Times New Roman" w:hAnsi="Times New Roman"/>
                <w:b/>
                <w:bCs/>
                <w:sz w:val="24"/>
                <w:szCs w:val="24"/>
                <w:lang w:eastAsia="pt-BR"/>
              </w:rPr>
            </w:pPr>
            <w:r>
              <w:rPr>
                <w:rFonts w:ascii="Times New Roman" w:hAnsi="Times New Roman"/>
                <w:b/>
                <w:bCs/>
                <w:sz w:val="24"/>
                <w:szCs w:val="24"/>
                <w:lang w:eastAsia="pt-BR"/>
              </w:rPr>
              <w:t>2.361.171,47</w:t>
            </w:r>
          </w:p>
        </w:tc>
        <w:tc>
          <w:tcPr>
            <w:tcW w:w="1418" w:type="dxa"/>
          </w:tcPr>
          <w:p w14:paraId="72AD202A" w14:textId="46BC90D5" w:rsidR="0048784D" w:rsidRPr="00B56B3B" w:rsidRDefault="0048784D"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83,62</w:t>
            </w:r>
          </w:p>
        </w:tc>
      </w:tr>
      <w:tr w:rsidR="0048784D" w:rsidRPr="00F02ABE" w14:paraId="76CA105B" w14:textId="77777777" w:rsidTr="000343AC">
        <w:tc>
          <w:tcPr>
            <w:tcW w:w="5353" w:type="dxa"/>
          </w:tcPr>
          <w:p w14:paraId="66DF37AA" w14:textId="77777777" w:rsidR="0048784D" w:rsidRPr="00A80161" w:rsidRDefault="0048784D" w:rsidP="00242CBD">
            <w:pPr>
              <w:autoSpaceDE w:val="0"/>
              <w:autoSpaceDN w:val="0"/>
              <w:adjustRightInd w:val="0"/>
              <w:spacing w:after="0" w:line="240" w:lineRule="auto"/>
              <w:jc w:val="both"/>
              <w:rPr>
                <w:rFonts w:ascii="Times New Roman" w:hAnsi="Times New Roman"/>
                <w:sz w:val="24"/>
                <w:szCs w:val="24"/>
                <w:lang w:eastAsia="pt-BR"/>
              </w:rPr>
            </w:pPr>
            <w:r w:rsidRPr="00A80161">
              <w:rPr>
                <w:rFonts w:ascii="Times New Roman" w:hAnsi="Times New Roman"/>
                <w:sz w:val="24"/>
                <w:szCs w:val="24"/>
                <w:lang w:eastAsia="pt-BR"/>
              </w:rPr>
              <w:t>Demais Unidades Gestoras</w:t>
            </w:r>
          </w:p>
        </w:tc>
        <w:tc>
          <w:tcPr>
            <w:tcW w:w="2268" w:type="dxa"/>
          </w:tcPr>
          <w:p w14:paraId="1C676707" w14:textId="5A9B813B" w:rsidR="0048784D" w:rsidRPr="00A80161" w:rsidRDefault="0048784D" w:rsidP="00242CBD">
            <w:pPr>
              <w:autoSpaceDE w:val="0"/>
              <w:autoSpaceDN w:val="0"/>
              <w:adjustRightInd w:val="0"/>
              <w:spacing w:after="0" w:line="240" w:lineRule="auto"/>
              <w:jc w:val="right"/>
              <w:rPr>
                <w:rFonts w:ascii="Times New Roman" w:hAnsi="Times New Roman"/>
                <w:sz w:val="24"/>
                <w:szCs w:val="24"/>
                <w:lang w:eastAsia="pt-BR"/>
              </w:rPr>
            </w:pPr>
            <w:r w:rsidRPr="0048784D">
              <w:rPr>
                <w:rFonts w:ascii="Times New Roman" w:hAnsi="Times New Roman"/>
                <w:sz w:val="24"/>
                <w:szCs w:val="24"/>
                <w:lang w:eastAsia="pt-BR"/>
              </w:rPr>
              <w:t>462.425,47</w:t>
            </w:r>
          </w:p>
        </w:tc>
        <w:tc>
          <w:tcPr>
            <w:tcW w:w="1418" w:type="dxa"/>
          </w:tcPr>
          <w:p w14:paraId="45E82B18" w14:textId="177923A5" w:rsidR="0048784D" w:rsidRPr="00B56B3B" w:rsidRDefault="0048784D"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16,38</w:t>
            </w:r>
          </w:p>
        </w:tc>
      </w:tr>
      <w:tr w:rsidR="0048784D" w:rsidRPr="00F02ABE" w14:paraId="3C3C8B52" w14:textId="77777777" w:rsidTr="000343AC">
        <w:tc>
          <w:tcPr>
            <w:tcW w:w="5353" w:type="dxa"/>
          </w:tcPr>
          <w:p w14:paraId="40E26EB1" w14:textId="77777777" w:rsidR="0048784D" w:rsidRPr="00F02ABE" w:rsidRDefault="0048784D" w:rsidP="00242CBD">
            <w:pPr>
              <w:autoSpaceDE w:val="0"/>
              <w:autoSpaceDN w:val="0"/>
              <w:adjustRightInd w:val="0"/>
              <w:spacing w:after="0" w:line="240" w:lineRule="auto"/>
              <w:jc w:val="both"/>
              <w:rPr>
                <w:rFonts w:ascii="Times New Roman" w:hAnsi="Times New Roman"/>
                <w:b/>
                <w:sz w:val="24"/>
                <w:szCs w:val="24"/>
                <w:lang w:eastAsia="pt-BR"/>
              </w:rPr>
            </w:pPr>
            <w:r w:rsidRPr="00F02ABE">
              <w:rPr>
                <w:rFonts w:ascii="Times New Roman" w:hAnsi="Times New Roman"/>
                <w:b/>
                <w:sz w:val="24"/>
                <w:szCs w:val="24"/>
                <w:lang w:eastAsia="pt-BR"/>
              </w:rPr>
              <w:t xml:space="preserve">TOTAL </w:t>
            </w:r>
          </w:p>
        </w:tc>
        <w:tc>
          <w:tcPr>
            <w:tcW w:w="2268" w:type="dxa"/>
          </w:tcPr>
          <w:p w14:paraId="49BD4B0D" w14:textId="54E4EE23" w:rsidR="0048784D" w:rsidRPr="00AE669F" w:rsidRDefault="0048784D" w:rsidP="00242CBD">
            <w:pPr>
              <w:autoSpaceDE w:val="0"/>
              <w:autoSpaceDN w:val="0"/>
              <w:adjustRightInd w:val="0"/>
              <w:spacing w:after="0" w:line="240" w:lineRule="auto"/>
              <w:jc w:val="right"/>
              <w:rPr>
                <w:rFonts w:ascii="Times New Roman" w:hAnsi="Times New Roman"/>
                <w:b/>
                <w:sz w:val="24"/>
                <w:szCs w:val="24"/>
                <w:lang w:eastAsia="pt-BR"/>
              </w:rPr>
            </w:pPr>
            <w:r w:rsidRPr="0048784D">
              <w:rPr>
                <w:rFonts w:ascii="Times New Roman" w:hAnsi="Times New Roman"/>
                <w:b/>
                <w:bCs/>
                <w:sz w:val="24"/>
                <w:szCs w:val="24"/>
              </w:rPr>
              <w:t>2.823.596,94</w:t>
            </w:r>
          </w:p>
        </w:tc>
        <w:tc>
          <w:tcPr>
            <w:tcW w:w="1418" w:type="dxa"/>
          </w:tcPr>
          <w:p w14:paraId="7DF507E3" w14:textId="7AD0B7C6" w:rsidR="0048784D" w:rsidRPr="00F02ABE" w:rsidRDefault="0048784D"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100</w:t>
            </w:r>
          </w:p>
        </w:tc>
      </w:tr>
    </w:tbl>
    <w:p w14:paraId="79B9AC5E" w14:textId="04F13E79" w:rsidR="00CB2FF5" w:rsidRPr="0034412B" w:rsidRDefault="00CB2FF5" w:rsidP="00CB2FF5">
      <w:pPr>
        <w:autoSpaceDE w:val="0"/>
        <w:autoSpaceDN w:val="0"/>
        <w:adjustRightInd w:val="0"/>
        <w:spacing w:after="0" w:line="240" w:lineRule="auto"/>
        <w:ind w:left="1701"/>
        <w:jc w:val="both"/>
        <w:rPr>
          <w:rFonts w:ascii="Times New Roman" w:hAnsi="Times New Roman"/>
          <w:sz w:val="20"/>
          <w:szCs w:val="20"/>
          <w:lang w:eastAsia="pt-BR"/>
        </w:rPr>
      </w:pPr>
      <w:r w:rsidRPr="0034412B">
        <w:rPr>
          <w:rFonts w:ascii="Times New Roman" w:hAnsi="Times New Roman"/>
          <w:sz w:val="20"/>
          <w:szCs w:val="20"/>
          <w:lang w:eastAsia="pt-BR"/>
        </w:rPr>
        <w:t>Fonte: Tesouro Gerencial e SIAFI, 202</w:t>
      </w:r>
      <w:r w:rsidR="00FE4DAA">
        <w:rPr>
          <w:rFonts w:ascii="Times New Roman" w:hAnsi="Times New Roman"/>
          <w:sz w:val="20"/>
          <w:szCs w:val="20"/>
          <w:lang w:eastAsia="pt-BR"/>
        </w:rPr>
        <w:t>4</w:t>
      </w:r>
      <w:r w:rsidRPr="0034412B">
        <w:rPr>
          <w:rFonts w:ascii="Times New Roman" w:hAnsi="Times New Roman"/>
          <w:sz w:val="20"/>
          <w:szCs w:val="20"/>
          <w:lang w:eastAsia="pt-BR"/>
        </w:rPr>
        <w:t>.</w:t>
      </w:r>
    </w:p>
    <w:p w14:paraId="7086E011" w14:textId="4942E3E3" w:rsidR="00CB2FF5" w:rsidRPr="00645F01" w:rsidRDefault="00CB2FF5" w:rsidP="00CB2FF5">
      <w:pPr>
        <w:autoSpaceDE w:val="0"/>
        <w:autoSpaceDN w:val="0"/>
        <w:adjustRightInd w:val="0"/>
        <w:spacing w:after="0" w:line="240" w:lineRule="auto"/>
        <w:ind w:left="1701"/>
        <w:jc w:val="both"/>
        <w:rPr>
          <w:rFonts w:ascii="Times New Roman" w:hAnsi="Times New Roman"/>
          <w:b/>
          <w:bCs/>
          <w:sz w:val="24"/>
          <w:szCs w:val="24"/>
          <w:lang w:eastAsia="pt-BR"/>
        </w:rPr>
      </w:pPr>
      <w:r>
        <w:rPr>
          <w:rFonts w:ascii="Times New Roman" w:hAnsi="Times New Roman"/>
          <w:sz w:val="24"/>
          <w:szCs w:val="24"/>
          <w:lang w:eastAsia="pt-BR"/>
        </w:rPr>
        <w:lastRenderedPageBreak/>
        <w:t>A Reitoria</w:t>
      </w:r>
      <w:r w:rsidRPr="00F02ABE">
        <w:rPr>
          <w:rFonts w:ascii="Times New Roman" w:hAnsi="Times New Roman"/>
          <w:sz w:val="24"/>
          <w:szCs w:val="24"/>
          <w:lang w:eastAsia="pt-BR"/>
        </w:rPr>
        <w:t xml:space="preserve"> é responsável por </w:t>
      </w:r>
      <w:r w:rsidR="00943F10">
        <w:rPr>
          <w:rFonts w:ascii="Times New Roman" w:hAnsi="Times New Roman"/>
          <w:sz w:val="24"/>
          <w:szCs w:val="24"/>
          <w:lang w:eastAsia="pt-BR"/>
        </w:rPr>
        <w:t>83,62</w:t>
      </w:r>
      <w:r w:rsidR="00FE4DAA">
        <w:rPr>
          <w:rFonts w:ascii="Times New Roman" w:hAnsi="Times New Roman"/>
          <w:sz w:val="24"/>
          <w:szCs w:val="24"/>
          <w:lang w:eastAsia="pt-BR"/>
        </w:rPr>
        <w:t>%</w:t>
      </w:r>
      <w:r w:rsidRPr="00F02ABE">
        <w:rPr>
          <w:rFonts w:ascii="Times New Roman" w:hAnsi="Times New Roman"/>
          <w:sz w:val="24"/>
          <w:szCs w:val="24"/>
          <w:lang w:eastAsia="pt-BR"/>
        </w:rPr>
        <w:t xml:space="preserve"> do total a ser pago. O montante de </w:t>
      </w:r>
      <w:r w:rsidRPr="00F02ABE">
        <w:rPr>
          <w:rFonts w:ascii="Times New Roman" w:hAnsi="Times New Roman"/>
          <w:b/>
          <w:bCs/>
          <w:sz w:val="24"/>
          <w:szCs w:val="24"/>
          <w:lang w:eastAsia="pt-BR"/>
        </w:rPr>
        <w:t xml:space="preserve">R$ </w:t>
      </w:r>
      <w:r w:rsidR="00943F10">
        <w:rPr>
          <w:rFonts w:ascii="Times New Roman" w:hAnsi="Times New Roman"/>
          <w:b/>
          <w:bCs/>
          <w:sz w:val="24"/>
          <w:szCs w:val="24"/>
          <w:lang w:eastAsia="pt-BR"/>
        </w:rPr>
        <w:t xml:space="preserve">2.361.171,47 </w:t>
      </w:r>
      <w:r w:rsidRPr="00F02ABE">
        <w:rPr>
          <w:rFonts w:ascii="Times New Roman" w:hAnsi="Times New Roman"/>
          <w:sz w:val="24"/>
          <w:szCs w:val="24"/>
          <w:lang w:eastAsia="pt-BR"/>
        </w:rPr>
        <w:t xml:space="preserve">está registrado na conta Contas a Pagar Credores Nacionais. </w:t>
      </w:r>
      <w:r>
        <w:rPr>
          <w:rFonts w:ascii="Times New Roman" w:hAnsi="Times New Roman"/>
          <w:sz w:val="24"/>
          <w:szCs w:val="24"/>
          <w:lang w:eastAsia="pt-BR"/>
        </w:rPr>
        <w:t>O</w:t>
      </w:r>
      <w:r w:rsidRPr="00F02ABE">
        <w:rPr>
          <w:rFonts w:ascii="Times New Roman" w:hAnsi="Times New Roman"/>
          <w:sz w:val="24"/>
          <w:szCs w:val="24"/>
          <w:lang w:eastAsia="pt-BR"/>
        </w:rPr>
        <w:t xml:space="preserve"> último trimestre do exercício anterior a conta de Fornecedores </w:t>
      </w:r>
      <w:r>
        <w:rPr>
          <w:rFonts w:ascii="Times New Roman" w:hAnsi="Times New Roman"/>
          <w:sz w:val="24"/>
          <w:szCs w:val="24"/>
          <w:lang w:eastAsia="pt-BR"/>
        </w:rPr>
        <w:t xml:space="preserve">possuía um saldo de </w:t>
      </w:r>
      <w:r w:rsidRPr="00645F01">
        <w:rPr>
          <w:rFonts w:ascii="Times New Roman" w:hAnsi="Times New Roman"/>
          <w:b/>
          <w:bCs/>
          <w:sz w:val="24"/>
          <w:szCs w:val="24"/>
          <w:lang w:eastAsia="pt-BR"/>
        </w:rPr>
        <w:t xml:space="preserve">R$ </w:t>
      </w:r>
      <w:r>
        <w:rPr>
          <w:rFonts w:ascii="Times New Roman" w:hAnsi="Times New Roman"/>
          <w:b/>
          <w:bCs/>
          <w:sz w:val="24"/>
          <w:szCs w:val="24"/>
          <w:lang w:eastAsia="pt-BR"/>
        </w:rPr>
        <w:t>829.278,78</w:t>
      </w:r>
      <w:r w:rsidRPr="00645F01">
        <w:rPr>
          <w:rFonts w:ascii="Times New Roman" w:hAnsi="Times New Roman"/>
          <w:b/>
          <w:bCs/>
          <w:sz w:val="24"/>
          <w:szCs w:val="24"/>
          <w:lang w:eastAsia="pt-BR"/>
        </w:rPr>
        <w:t>.</w:t>
      </w:r>
    </w:p>
    <w:p w14:paraId="014EEB1C"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4B9E3942" w14:textId="15D426B4"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Na tabela a seguir, estão relacionados os quatro fornecedores com os valores mais significativos relativos ao </w:t>
      </w:r>
      <w:r w:rsidR="00EB5818">
        <w:rPr>
          <w:rFonts w:ascii="Times New Roman" w:hAnsi="Times New Roman"/>
          <w:sz w:val="24"/>
          <w:szCs w:val="24"/>
          <w:lang w:eastAsia="pt-BR"/>
        </w:rPr>
        <w:t>4</w:t>
      </w:r>
      <w:r w:rsidRPr="00F02ABE">
        <w:rPr>
          <w:rFonts w:ascii="Times New Roman" w:hAnsi="Times New Roman"/>
          <w:sz w:val="24"/>
          <w:szCs w:val="24"/>
          <w:lang w:eastAsia="pt-BR"/>
        </w:rPr>
        <w:t>º trimestre de 202</w:t>
      </w:r>
      <w:r>
        <w:rPr>
          <w:rFonts w:ascii="Times New Roman" w:hAnsi="Times New Roman"/>
          <w:sz w:val="24"/>
          <w:szCs w:val="24"/>
          <w:lang w:eastAsia="pt-BR"/>
        </w:rPr>
        <w:t>4</w:t>
      </w:r>
      <w:r w:rsidRPr="00F02ABE">
        <w:rPr>
          <w:rFonts w:ascii="Times New Roman" w:hAnsi="Times New Roman"/>
          <w:sz w:val="24"/>
          <w:szCs w:val="24"/>
          <w:lang w:eastAsia="pt-BR"/>
        </w:rPr>
        <w:t xml:space="preserve">, contratados por </w:t>
      </w:r>
      <w:proofErr w:type="spellStart"/>
      <w:r w:rsidRPr="00F02ABE">
        <w:rPr>
          <w:rFonts w:ascii="Times New Roman" w:hAnsi="Times New Roman"/>
          <w:sz w:val="24"/>
          <w:szCs w:val="24"/>
          <w:lang w:eastAsia="pt-BR"/>
        </w:rPr>
        <w:t>UG's</w:t>
      </w:r>
      <w:proofErr w:type="spellEnd"/>
      <w:r w:rsidRPr="00F02ABE">
        <w:rPr>
          <w:rFonts w:ascii="Times New Roman" w:hAnsi="Times New Roman"/>
          <w:sz w:val="24"/>
          <w:szCs w:val="24"/>
          <w:lang w:eastAsia="pt-BR"/>
        </w:rPr>
        <w:t xml:space="preserve"> vinculadas ao IFPI.</w:t>
      </w:r>
    </w:p>
    <w:p w14:paraId="100779A3"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09D22D4C" w14:textId="77777777" w:rsidR="00CB2FF5" w:rsidRDefault="00CB2FF5" w:rsidP="00CB2FF5">
      <w:pPr>
        <w:autoSpaceDE w:val="0"/>
        <w:autoSpaceDN w:val="0"/>
        <w:adjustRightInd w:val="0"/>
        <w:spacing w:after="0" w:line="240" w:lineRule="auto"/>
        <w:ind w:left="1701"/>
        <w:jc w:val="both"/>
        <w:rPr>
          <w:rFonts w:ascii="Times New Roman" w:hAnsi="Times New Roman"/>
          <w:b/>
          <w:bCs/>
          <w:sz w:val="24"/>
          <w:szCs w:val="24"/>
        </w:rPr>
      </w:pPr>
      <w:r w:rsidRPr="00F02ABE">
        <w:rPr>
          <w:rFonts w:ascii="Times New Roman" w:hAnsi="Times New Roman"/>
          <w:b/>
          <w:bCs/>
          <w:sz w:val="24"/>
          <w:szCs w:val="24"/>
        </w:rPr>
        <w:t>Tabela 14 - Fornecedores e Contas a Pagar - Por Fornecedor.</w:t>
      </w:r>
    </w:p>
    <w:p w14:paraId="64039FED" w14:textId="6EBDCB7B"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rPr>
      </w:pPr>
      <w:r>
        <w:rPr>
          <w:rFonts w:ascii="Times New Roman" w:hAnsi="Times New Roman"/>
          <w:sz w:val="24"/>
          <w:szCs w:val="24"/>
          <w:lang w:eastAsia="pt-BR"/>
        </w:rPr>
        <w:t xml:space="preserve">                                                                                                                                                                                 </w:t>
      </w:r>
      <w:r w:rsidRPr="00F02ABE">
        <w:rPr>
          <w:rFonts w:ascii="Times New Roman" w:hAnsi="Times New Roman"/>
          <w:sz w:val="24"/>
          <w:szCs w:val="24"/>
          <w:lang w:eastAsia="pt-BR"/>
        </w:rPr>
        <w:t xml:space="preserve">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476"/>
        <w:gridCol w:w="1359"/>
      </w:tblGrid>
      <w:tr w:rsidR="00CB2FF5" w:rsidRPr="00F02ABE" w14:paraId="0DF96AA7" w14:textId="77777777" w:rsidTr="00242CBD">
        <w:tc>
          <w:tcPr>
            <w:tcW w:w="8784" w:type="dxa"/>
          </w:tcPr>
          <w:p w14:paraId="7A1B3C82" w14:textId="70C00D6D" w:rsidR="00CB2FF5" w:rsidRPr="00150680" w:rsidRDefault="00CB2FF5" w:rsidP="00242CBD">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REITORIA</w:t>
            </w:r>
          </w:p>
        </w:tc>
        <w:tc>
          <w:tcPr>
            <w:tcW w:w="1476" w:type="dxa"/>
          </w:tcPr>
          <w:p w14:paraId="01ED3946" w14:textId="78EA90BC" w:rsidR="00CB2FF5" w:rsidRPr="00F02ABE" w:rsidRDefault="00CB2FF5" w:rsidP="00242CBD">
            <w:pPr>
              <w:autoSpaceDE w:val="0"/>
              <w:autoSpaceDN w:val="0"/>
              <w:adjustRightInd w:val="0"/>
              <w:spacing w:after="0" w:line="240" w:lineRule="auto"/>
              <w:jc w:val="right"/>
              <w:rPr>
                <w:rFonts w:ascii="Times New Roman" w:hAnsi="Times New Roman"/>
                <w:b/>
                <w:bCs/>
                <w:sz w:val="24"/>
                <w:szCs w:val="24"/>
              </w:rPr>
            </w:pPr>
            <w:r w:rsidRPr="00F02ABE">
              <w:rPr>
                <w:rFonts w:ascii="Times New Roman" w:hAnsi="Times New Roman"/>
                <w:b/>
                <w:bCs/>
                <w:sz w:val="24"/>
                <w:szCs w:val="24"/>
              </w:rPr>
              <w:t>3</w:t>
            </w:r>
            <w:r w:rsidR="00A3028F">
              <w:rPr>
                <w:rFonts w:ascii="Times New Roman" w:hAnsi="Times New Roman"/>
                <w:b/>
                <w:bCs/>
                <w:sz w:val="24"/>
                <w:szCs w:val="24"/>
              </w:rPr>
              <w:t>1</w:t>
            </w:r>
            <w:r w:rsidRPr="00F02ABE">
              <w:rPr>
                <w:rFonts w:ascii="Times New Roman" w:hAnsi="Times New Roman"/>
                <w:b/>
                <w:bCs/>
                <w:sz w:val="24"/>
                <w:szCs w:val="24"/>
              </w:rPr>
              <w:t>/</w:t>
            </w:r>
            <w:r w:rsidR="00A3028F">
              <w:rPr>
                <w:rFonts w:ascii="Times New Roman" w:hAnsi="Times New Roman"/>
                <w:b/>
                <w:bCs/>
                <w:sz w:val="24"/>
                <w:szCs w:val="24"/>
              </w:rPr>
              <w:t>12</w:t>
            </w:r>
            <w:r>
              <w:rPr>
                <w:rFonts w:ascii="Times New Roman" w:hAnsi="Times New Roman"/>
                <w:b/>
                <w:bCs/>
                <w:sz w:val="24"/>
                <w:szCs w:val="24"/>
              </w:rPr>
              <w:t>/</w:t>
            </w:r>
            <w:r w:rsidRPr="00F02ABE">
              <w:rPr>
                <w:rFonts w:ascii="Times New Roman" w:hAnsi="Times New Roman"/>
                <w:b/>
                <w:bCs/>
                <w:sz w:val="24"/>
                <w:szCs w:val="24"/>
              </w:rPr>
              <w:t>202</w:t>
            </w:r>
            <w:r>
              <w:rPr>
                <w:rFonts w:ascii="Times New Roman" w:hAnsi="Times New Roman"/>
                <w:b/>
                <w:bCs/>
                <w:sz w:val="24"/>
                <w:szCs w:val="24"/>
              </w:rPr>
              <w:t>4</w:t>
            </w:r>
          </w:p>
        </w:tc>
        <w:tc>
          <w:tcPr>
            <w:tcW w:w="1359" w:type="dxa"/>
          </w:tcPr>
          <w:p w14:paraId="04BAD13B" w14:textId="687EADDF" w:rsidR="00CB2FF5" w:rsidRPr="00F02ABE" w:rsidRDefault="00CB2FF5" w:rsidP="00242CBD">
            <w:pPr>
              <w:autoSpaceDE w:val="0"/>
              <w:autoSpaceDN w:val="0"/>
              <w:adjustRightInd w:val="0"/>
              <w:spacing w:after="0" w:line="240" w:lineRule="auto"/>
              <w:jc w:val="right"/>
              <w:rPr>
                <w:rFonts w:ascii="Times New Roman" w:hAnsi="Times New Roman"/>
                <w:b/>
                <w:bCs/>
                <w:sz w:val="24"/>
                <w:szCs w:val="24"/>
              </w:rPr>
            </w:pPr>
            <w:r w:rsidRPr="00F02ABE">
              <w:rPr>
                <w:rFonts w:ascii="Times New Roman" w:hAnsi="Times New Roman"/>
                <w:b/>
                <w:bCs/>
                <w:sz w:val="24"/>
                <w:szCs w:val="24"/>
              </w:rPr>
              <w:t>AV</w:t>
            </w:r>
            <w:r w:rsidR="00511AD4">
              <w:rPr>
                <w:rFonts w:ascii="Times New Roman" w:hAnsi="Times New Roman"/>
                <w:b/>
                <w:bCs/>
                <w:sz w:val="24"/>
                <w:szCs w:val="24"/>
              </w:rPr>
              <w:t xml:space="preserve"> </w:t>
            </w:r>
            <w:r w:rsidRPr="00F02ABE">
              <w:rPr>
                <w:rFonts w:ascii="Times New Roman" w:hAnsi="Times New Roman"/>
                <w:b/>
                <w:bCs/>
                <w:sz w:val="24"/>
                <w:szCs w:val="24"/>
              </w:rPr>
              <w:t>(%)</w:t>
            </w:r>
          </w:p>
        </w:tc>
      </w:tr>
      <w:tr w:rsidR="00CB2FF5" w:rsidRPr="00F02ABE" w14:paraId="4E8C7C1B" w14:textId="77777777" w:rsidTr="00242CBD">
        <w:tc>
          <w:tcPr>
            <w:tcW w:w="8784" w:type="dxa"/>
          </w:tcPr>
          <w:p w14:paraId="347D4534" w14:textId="10F2CC29" w:rsidR="00CB2FF5" w:rsidRPr="00F02ABE" w:rsidRDefault="00CB2FF5" w:rsidP="00242CBD">
            <w:pPr>
              <w:autoSpaceDE w:val="0"/>
              <w:autoSpaceDN w:val="0"/>
              <w:adjustRightInd w:val="0"/>
              <w:spacing w:after="0" w:line="240" w:lineRule="auto"/>
              <w:jc w:val="both"/>
              <w:rPr>
                <w:rFonts w:ascii="Times New Roman" w:hAnsi="Times New Roman"/>
                <w:bCs/>
                <w:sz w:val="24"/>
                <w:szCs w:val="24"/>
              </w:rPr>
            </w:pPr>
            <w:r w:rsidRPr="00F02ABE">
              <w:rPr>
                <w:rFonts w:ascii="Times New Roman" w:hAnsi="Times New Roman"/>
                <w:bCs/>
                <w:sz w:val="24"/>
                <w:szCs w:val="24"/>
              </w:rPr>
              <w:t>Fornecedor A:</w:t>
            </w:r>
            <w:r>
              <w:rPr>
                <w:rFonts w:ascii="Times New Roman" w:hAnsi="Times New Roman"/>
                <w:bCs/>
                <w:sz w:val="24"/>
                <w:szCs w:val="24"/>
              </w:rPr>
              <w:t xml:space="preserve"> </w:t>
            </w:r>
            <w:r w:rsidR="00EB5818">
              <w:rPr>
                <w:rFonts w:ascii="Times New Roman" w:hAnsi="Times New Roman"/>
                <w:bCs/>
                <w:sz w:val="24"/>
                <w:szCs w:val="24"/>
              </w:rPr>
              <w:t>FADEX</w:t>
            </w:r>
          </w:p>
        </w:tc>
        <w:tc>
          <w:tcPr>
            <w:tcW w:w="1476" w:type="dxa"/>
          </w:tcPr>
          <w:p w14:paraId="44D49D7E" w14:textId="4FD2A06A" w:rsidR="00CB2FF5" w:rsidRPr="00F02ABE" w:rsidRDefault="00EB5818" w:rsidP="00242CBD">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1.500.000,00</w:t>
            </w:r>
          </w:p>
        </w:tc>
        <w:tc>
          <w:tcPr>
            <w:tcW w:w="1359" w:type="dxa"/>
          </w:tcPr>
          <w:p w14:paraId="2BAAB272" w14:textId="315BFDC3" w:rsidR="00CB2FF5" w:rsidRPr="00F02ABE" w:rsidRDefault="00A66C96" w:rsidP="00242CB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63,53</w:t>
            </w:r>
          </w:p>
        </w:tc>
      </w:tr>
      <w:tr w:rsidR="00661265" w:rsidRPr="00F02ABE" w14:paraId="2DEC5FC7" w14:textId="77777777" w:rsidTr="00242CBD">
        <w:tc>
          <w:tcPr>
            <w:tcW w:w="8784" w:type="dxa"/>
          </w:tcPr>
          <w:p w14:paraId="6C145603" w14:textId="07A4ED64" w:rsidR="00661265" w:rsidRPr="00F02ABE" w:rsidRDefault="00661265" w:rsidP="00242CB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Fornecedor B: </w:t>
            </w:r>
            <w:r w:rsidR="00EB5818">
              <w:rPr>
                <w:rFonts w:ascii="Times New Roman" w:hAnsi="Times New Roman"/>
                <w:bCs/>
                <w:sz w:val="24"/>
                <w:szCs w:val="24"/>
              </w:rPr>
              <w:t>Performance Serviços de Engenharia LTDA</w:t>
            </w:r>
          </w:p>
        </w:tc>
        <w:tc>
          <w:tcPr>
            <w:tcW w:w="1476" w:type="dxa"/>
          </w:tcPr>
          <w:p w14:paraId="6334AD2B" w14:textId="2113BB35" w:rsidR="00661265" w:rsidRPr="00661265" w:rsidRDefault="00EB5818" w:rsidP="00242CBD">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579.514,71</w:t>
            </w:r>
          </w:p>
        </w:tc>
        <w:tc>
          <w:tcPr>
            <w:tcW w:w="1359" w:type="dxa"/>
          </w:tcPr>
          <w:p w14:paraId="76E44307" w14:textId="3F7A28B2" w:rsidR="00661265" w:rsidRPr="00F02ABE" w:rsidRDefault="00A66C96" w:rsidP="00242CB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24,54</w:t>
            </w:r>
          </w:p>
        </w:tc>
      </w:tr>
      <w:tr w:rsidR="00CB2FF5" w:rsidRPr="00F02ABE" w14:paraId="20FF513A" w14:textId="77777777" w:rsidTr="00242CBD">
        <w:tc>
          <w:tcPr>
            <w:tcW w:w="8784" w:type="dxa"/>
          </w:tcPr>
          <w:p w14:paraId="7E81F697" w14:textId="77777777" w:rsidR="00CB2FF5" w:rsidRPr="00F02ABE" w:rsidRDefault="00CB2FF5" w:rsidP="00242CBD">
            <w:pPr>
              <w:autoSpaceDE w:val="0"/>
              <w:autoSpaceDN w:val="0"/>
              <w:adjustRightInd w:val="0"/>
              <w:spacing w:after="0" w:line="240" w:lineRule="auto"/>
              <w:jc w:val="both"/>
              <w:rPr>
                <w:rFonts w:ascii="Times New Roman" w:hAnsi="Times New Roman"/>
                <w:bCs/>
                <w:sz w:val="24"/>
                <w:szCs w:val="24"/>
              </w:rPr>
            </w:pPr>
            <w:r w:rsidRPr="00F02ABE">
              <w:rPr>
                <w:rFonts w:ascii="Times New Roman" w:hAnsi="Times New Roman"/>
                <w:bCs/>
                <w:sz w:val="24"/>
                <w:szCs w:val="24"/>
              </w:rPr>
              <w:t xml:space="preserve">Demais Fornecedores relacionados </w:t>
            </w:r>
            <w:r>
              <w:rPr>
                <w:rFonts w:ascii="Times New Roman" w:hAnsi="Times New Roman"/>
                <w:bCs/>
                <w:sz w:val="24"/>
                <w:szCs w:val="24"/>
              </w:rPr>
              <w:t>à Reitoria</w:t>
            </w:r>
          </w:p>
        </w:tc>
        <w:tc>
          <w:tcPr>
            <w:tcW w:w="1476" w:type="dxa"/>
          </w:tcPr>
          <w:p w14:paraId="5ADDF671" w14:textId="36A9C6BA" w:rsidR="00CB2FF5" w:rsidRPr="00F02ABE" w:rsidRDefault="00EB5818" w:rsidP="00242CBD">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281.656,76</w:t>
            </w:r>
          </w:p>
        </w:tc>
        <w:tc>
          <w:tcPr>
            <w:tcW w:w="1359" w:type="dxa"/>
          </w:tcPr>
          <w:p w14:paraId="104422FF" w14:textId="0225E842" w:rsidR="00CB2FF5" w:rsidRPr="00F02ABE" w:rsidRDefault="00A66C96" w:rsidP="00242CBD">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11,93</w:t>
            </w:r>
          </w:p>
        </w:tc>
      </w:tr>
      <w:tr w:rsidR="00CB2FF5" w:rsidRPr="00F02ABE" w14:paraId="1735CF07" w14:textId="77777777" w:rsidTr="00242CBD">
        <w:tc>
          <w:tcPr>
            <w:tcW w:w="8784" w:type="dxa"/>
          </w:tcPr>
          <w:p w14:paraId="7DDBE792" w14:textId="77777777" w:rsidR="00CB2FF5" w:rsidRPr="00F02ABE" w:rsidRDefault="00CB2FF5" w:rsidP="00242CBD">
            <w:pPr>
              <w:autoSpaceDE w:val="0"/>
              <w:autoSpaceDN w:val="0"/>
              <w:adjustRightInd w:val="0"/>
              <w:spacing w:after="0" w:line="240" w:lineRule="auto"/>
              <w:jc w:val="both"/>
              <w:rPr>
                <w:rFonts w:ascii="Times New Roman" w:hAnsi="Times New Roman"/>
                <w:b/>
                <w:bCs/>
                <w:sz w:val="24"/>
                <w:szCs w:val="24"/>
              </w:rPr>
            </w:pPr>
            <w:r w:rsidRPr="00F02ABE">
              <w:rPr>
                <w:rFonts w:ascii="Times New Roman" w:hAnsi="Times New Roman"/>
                <w:b/>
                <w:bCs/>
                <w:sz w:val="24"/>
                <w:szCs w:val="24"/>
              </w:rPr>
              <w:t>Total</w:t>
            </w:r>
          </w:p>
        </w:tc>
        <w:tc>
          <w:tcPr>
            <w:tcW w:w="1476" w:type="dxa"/>
          </w:tcPr>
          <w:p w14:paraId="784FD382" w14:textId="62F08285" w:rsidR="00CB2FF5" w:rsidRPr="00F02ABE" w:rsidRDefault="00EB5818" w:rsidP="00242CBD">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2.361.171,47</w:t>
            </w:r>
          </w:p>
        </w:tc>
        <w:tc>
          <w:tcPr>
            <w:tcW w:w="1359" w:type="dxa"/>
          </w:tcPr>
          <w:p w14:paraId="29720BA7" w14:textId="77777777" w:rsidR="00CB2FF5" w:rsidRPr="00F02ABE" w:rsidRDefault="00CB2FF5" w:rsidP="00242CBD">
            <w:pPr>
              <w:autoSpaceDE w:val="0"/>
              <w:autoSpaceDN w:val="0"/>
              <w:adjustRightInd w:val="0"/>
              <w:spacing w:after="0" w:line="240" w:lineRule="auto"/>
              <w:jc w:val="center"/>
              <w:rPr>
                <w:rFonts w:ascii="Times New Roman" w:hAnsi="Times New Roman"/>
                <w:b/>
                <w:bCs/>
                <w:sz w:val="24"/>
                <w:szCs w:val="24"/>
              </w:rPr>
            </w:pPr>
            <w:r w:rsidRPr="00F02ABE">
              <w:rPr>
                <w:rFonts w:ascii="Times New Roman" w:hAnsi="Times New Roman"/>
                <w:b/>
                <w:bCs/>
                <w:sz w:val="24"/>
                <w:szCs w:val="24"/>
              </w:rPr>
              <w:t>100</w:t>
            </w:r>
          </w:p>
        </w:tc>
      </w:tr>
    </w:tbl>
    <w:p w14:paraId="0653EC5B" w14:textId="3275D7C4" w:rsidR="00CB2FF5" w:rsidRPr="00A119EE" w:rsidRDefault="00CB2FF5" w:rsidP="00CB2FF5">
      <w:pPr>
        <w:autoSpaceDE w:val="0"/>
        <w:autoSpaceDN w:val="0"/>
        <w:adjustRightInd w:val="0"/>
        <w:spacing w:after="0" w:line="240" w:lineRule="auto"/>
        <w:ind w:left="1701"/>
        <w:jc w:val="both"/>
        <w:rPr>
          <w:rFonts w:ascii="Times New Roman" w:hAnsi="Times New Roman"/>
          <w:b/>
          <w:bCs/>
          <w:sz w:val="20"/>
          <w:szCs w:val="20"/>
        </w:rPr>
      </w:pPr>
      <w:r w:rsidRPr="00A119EE">
        <w:rPr>
          <w:rFonts w:ascii="Times New Roman" w:hAnsi="Times New Roman"/>
          <w:sz w:val="20"/>
          <w:szCs w:val="20"/>
          <w:lang w:eastAsia="pt-BR"/>
        </w:rPr>
        <w:t>Fonte: Tesouro Gerencial e SIAFI, 202</w:t>
      </w:r>
      <w:r w:rsidR="00661265">
        <w:rPr>
          <w:rFonts w:ascii="Times New Roman" w:hAnsi="Times New Roman"/>
          <w:sz w:val="20"/>
          <w:szCs w:val="20"/>
          <w:lang w:eastAsia="pt-BR"/>
        </w:rPr>
        <w:t>4</w:t>
      </w:r>
      <w:r w:rsidRPr="00A119EE">
        <w:rPr>
          <w:rFonts w:ascii="Times New Roman" w:hAnsi="Times New Roman"/>
          <w:sz w:val="20"/>
          <w:szCs w:val="20"/>
          <w:lang w:eastAsia="pt-BR"/>
        </w:rPr>
        <w:t>.</w:t>
      </w:r>
    </w:p>
    <w:p w14:paraId="5C9F03F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rPr>
      </w:pPr>
    </w:p>
    <w:p w14:paraId="5B693C87" w14:textId="77777777" w:rsidR="00CB2FF5" w:rsidRPr="00F02ABE" w:rsidRDefault="00CB2FF5" w:rsidP="00CB2FF5">
      <w:pPr>
        <w:pStyle w:val="PargrafodaLista"/>
        <w:numPr>
          <w:ilvl w:val="1"/>
          <w:numId w:val="6"/>
        </w:numPr>
        <w:autoSpaceDE w:val="0"/>
        <w:autoSpaceDN w:val="0"/>
        <w:adjustRightInd w:val="0"/>
        <w:spacing w:after="0" w:line="240" w:lineRule="auto"/>
        <w:rPr>
          <w:rFonts w:ascii="Times New Roman" w:hAnsi="Times New Roman"/>
          <w:b/>
          <w:sz w:val="24"/>
          <w:szCs w:val="24"/>
          <w:lang w:eastAsia="pt-BR"/>
        </w:rPr>
      </w:pPr>
      <w:r w:rsidRPr="00F02ABE">
        <w:rPr>
          <w:rFonts w:ascii="Times New Roman" w:hAnsi="Times New Roman"/>
          <w:b/>
          <w:sz w:val="24"/>
          <w:szCs w:val="24"/>
          <w:lang w:eastAsia="pt-BR"/>
        </w:rPr>
        <w:t>- Obrigações Contratuais</w:t>
      </w:r>
    </w:p>
    <w:p w14:paraId="6F4400A6" w14:textId="77777777" w:rsidR="00CB2FF5" w:rsidRPr="00F02ABE" w:rsidRDefault="00CB2FF5" w:rsidP="00CB2FF5">
      <w:pPr>
        <w:pStyle w:val="Default"/>
        <w:ind w:left="1701"/>
        <w:jc w:val="both"/>
      </w:pPr>
    </w:p>
    <w:p w14:paraId="1ED9D8F1" w14:textId="51CDE05B" w:rsidR="00CB2FF5" w:rsidRPr="00F02ABE" w:rsidRDefault="00CB2FF5" w:rsidP="00CB2FF5">
      <w:pPr>
        <w:pStyle w:val="Default"/>
        <w:ind w:left="1701"/>
        <w:jc w:val="both"/>
      </w:pPr>
      <w:r w:rsidRPr="00F02ABE">
        <w:t>Em 3</w:t>
      </w:r>
      <w:r w:rsidR="00C21D7A">
        <w:t>1</w:t>
      </w:r>
      <w:r w:rsidRPr="00F02ABE">
        <w:t>/</w:t>
      </w:r>
      <w:r w:rsidR="00C21D7A">
        <w:t>12</w:t>
      </w:r>
      <w:r>
        <w:t>/</w:t>
      </w:r>
      <w:r w:rsidRPr="00F02ABE">
        <w:t>202</w:t>
      </w:r>
      <w:r>
        <w:t>4</w:t>
      </w:r>
      <w:r w:rsidRPr="00F02ABE">
        <w:t xml:space="preserve">, o Órgão IFPI 26431 apresentou um saldo de </w:t>
      </w:r>
      <w:r w:rsidRPr="00F02ABE">
        <w:rPr>
          <w:b/>
          <w:bCs/>
        </w:rPr>
        <w:t xml:space="preserve">R$ </w:t>
      </w:r>
      <w:r w:rsidR="00C21D7A">
        <w:rPr>
          <w:b/>
          <w:bCs/>
        </w:rPr>
        <w:t>28.175.579,11</w:t>
      </w:r>
      <w:r w:rsidRPr="00F02ABE">
        <w:t xml:space="preserve"> relacionados a obrigações contratuais, referente a parcelas de Contratos em Execução no exercício de 202</w:t>
      </w:r>
      <w:r>
        <w:t>4</w:t>
      </w:r>
      <w:r w:rsidRPr="00F02ABE">
        <w:t xml:space="preserve">. </w:t>
      </w:r>
    </w:p>
    <w:p w14:paraId="26645A1D" w14:textId="3F2F9D66" w:rsidR="00CB2FF5" w:rsidRPr="00F02ABE" w:rsidRDefault="00CB2FF5" w:rsidP="00CB2FF5">
      <w:pPr>
        <w:pStyle w:val="Default"/>
        <w:ind w:left="1701"/>
        <w:jc w:val="both"/>
      </w:pPr>
      <w:r w:rsidRPr="00F02ABE">
        <w:t>A maioria das obrigações contratuais está relacionada a Contratos de Serviços que representam 99,</w:t>
      </w:r>
      <w:r w:rsidR="00773A61">
        <w:t>06</w:t>
      </w:r>
      <w:r w:rsidRPr="00F02ABE">
        <w:t>% do total das obrigações assumidas pelo IFPI no exercício financeiro de 202</w:t>
      </w:r>
      <w:r>
        <w:t>4</w:t>
      </w:r>
      <w:r w:rsidRPr="00F02ABE">
        <w:t xml:space="preserve">. </w:t>
      </w:r>
    </w:p>
    <w:p w14:paraId="72E1C5BA"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rPr>
      </w:pPr>
      <w:r w:rsidRPr="00F02ABE">
        <w:rPr>
          <w:rFonts w:ascii="Times New Roman" w:hAnsi="Times New Roman"/>
          <w:sz w:val="24"/>
          <w:szCs w:val="24"/>
        </w:rPr>
        <w:t>Na tabela a seguir, estão segregadas essas obrigações, de acordo com a natureza dos respectivos contratos.</w:t>
      </w:r>
    </w:p>
    <w:p w14:paraId="5A6B5D71"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rPr>
      </w:pPr>
    </w:p>
    <w:p w14:paraId="0BFFA920" w14:textId="77777777" w:rsidR="00811F3A" w:rsidRDefault="00811F3A" w:rsidP="00CB2FF5">
      <w:pPr>
        <w:autoSpaceDE w:val="0"/>
        <w:autoSpaceDN w:val="0"/>
        <w:adjustRightInd w:val="0"/>
        <w:spacing w:after="0" w:line="240" w:lineRule="auto"/>
        <w:ind w:left="1701"/>
        <w:jc w:val="both"/>
        <w:rPr>
          <w:rFonts w:ascii="Times New Roman" w:hAnsi="Times New Roman"/>
          <w:b/>
          <w:bCs/>
          <w:sz w:val="24"/>
          <w:szCs w:val="24"/>
        </w:rPr>
      </w:pPr>
    </w:p>
    <w:p w14:paraId="4B22B27D" w14:textId="77777777" w:rsidR="00811F3A" w:rsidRDefault="00811F3A" w:rsidP="00CB2FF5">
      <w:pPr>
        <w:autoSpaceDE w:val="0"/>
        <w:autoSpaceDN w:val="0"/>
        <w:adjustRightInd w:val="0"/>
        <w:spacing w:after="0" w:line="240" w:lineRule="auto"/>
        <w:ind w:left="1701"/>
        <w:jc w:val="both"/>
        <w:rPr>
          <w:rFonts w:ascii="Times New Roman" w:hAnsi="Times New Roman"/>
          <w:b/>
          <w:bCs/>
          <w:sz w:val="24"/>
          <w:szCs w:val="24"/>
        </w:rPr>
      </w:pPr>
    </w:p>
    <w:p w14:paraId="0FF9248E" w14:textId="77777777" w:rsidR="00811F3A" w:rsidRDefault="00811F3A" w:rsidP="00CB2FF5">
      <w:pPr>
        <w:autoSpaceDE w:val="0"/>
        <w:autoSpaceDN w:val="0"/>
        <w:adjustRightInd w:val="0"/>
        <w:spacing w:after="0" w:line="240" w:lineRule="auto"/>
        <w:ind w:left="1701"/>
        <w:jc w:val="both"/>
        <w:rPr>
          <w:rFonts w:ascii="Times New Roman" w:hAnsi="Times New Roman"/>
          <w:b/>
          <w:bCs/>
          <w:sz w:val="24"/>
          <w:szCs w:val="24"/>
        </w:rPr>
      </w:pPr>
    </w:p>
    <w:p w14:paraId="63EC8F0A" w14:textId="0D264386"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rPr>
      </w:pPr>
      <w:r w:rsidRPr="00F02ABE">
        <w:rPr>
          <w:rFonts w:ascii="Times New Roman" w:hAnsi="Times New Roman"/>
          <w:b/>
          <w:bCs/>
          <w:sz w:val="24"/>
          <w:szCs w:val="24"/>
        </w:rPr>
        <w:lastRenderedPageBreak/>
        <w:t>Tabela 15 - Obrigações Contratuais - Composição.</w:t>
      </w:r>
    </w:p>
    <w:p w14:paraId="05386E6B" w14:textId="77777777" w:rsidR="00CB2FF5" w:rsidRPr="00F02ABE" w:rsidRDefault="00CB2FF5" w:rsidP="00CB2FF5">
      <w:pPr>
        <w:autoSpaceDE w:val="0"/>
        <w:autoSpaceDN w:val="0"/>
        <w:adjustRightInd w:val="0"/>
        <w:spacing w:after="0" w:line="240" w:lineRule="auto"/>
        <w:ind w:left="2124" w:right="536"/>
        <w:jc w:val="right"/>
        <w:rPr>
          <w:rFonts w:ascii="Times New Roman" w:hAnsi="Times New Roman"/>
          <w:bCs/>
          <w:sz w:val="24"/>
          <w:szCs w:val="24"/>
        </w:rPr>
      </w:pPr>
      <w:r w:rsidRPr="00F02ABE">
        <w:rPr>
          <w:rFonts w:ascii="Times New Roman" w:hAnsi="Times New Roman"/>
          <w:bCs/>
          <w:sz w:val="24"/>
          <w:szCs w:val="24"/>
        </w:rPr>
        <w:t xml:space="preserve">                                                                                                                                                                                                          R$ 1,00</w:t>
      </w:r>
    </w:p>
    <w:tbl>
      <w:tblPr>
        <w:tblW w:w="11761"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2680"/>
        <w:gridCol w:w="2680"/>
        <w:gridCol w:w="1574"/>
        <w:gridCol w:w="2155"/>
      </w:tblGrid>
      <w:tr w:rsidR="00CB2FF5" w:rsidRPr="00F02ABE" w14:paraId="5F09D608" w14:textId="77777777" w:rsidTr="00242CBD">
        <w:tc>
          <w:tcPr>
            <w:tcW w:w="2672" w:type="dxa"/>
          </w:tcPr>
          <w:p w14:paraId="60F0B50B"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p>
        </w:tc>
        <w:tc>
          <w:tcPr>
            <w:tcW w:w="2680" w:type="dxa"/>
          </w:tcPr>
          <w:p w14:paraId="0D5E4D5A" w14:textId="0D76BD18"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3</w:t>
            </w:r>
            <w:r w:rsidR="00C21D7A">
              <w:rPr>
                <w:rFonts w:ascii="Times New Roman" w:hAnsi="Times New Roman"/>
                <w:b/>
                <w:sz w:val="24"/>
                <w:szCs w:val="24"/>
                <w:lang w:eastAsia="pt-BR"/>
              </w:rPr>
              <w:t>1</w:t>
            </w:r>
            <w:r w:rsidRPr="00F02ABE">
              <w:rPr>
                <w:rFonts w:ascii="Times New Roman" w:hAnsi="Times New Roman"/>
                <w:b/>
                <w:sz w:val="24"/>
                <w:szCs w:val="24"/>
                <w:lang w:eastAsia="pt-BR"/>
              </w:rPr>
              <w:t>/</w:t>
            </w:r>
            <w:r w:rsidR="00C21D7A">
              <w:rPr>
                <w:rFonts w:ascii="Times New Roman" w:hAnsi="Times New Roman"/>
                <w:b/>
                <w:sz w:val="24"/>
                <w:szCs w:val="24"/>
                <w:lang w:eastAsia="pt-BR"/>
              </w:rPr>
              <w:t>12</w:t>
            </w:r>
            <w:r w:rsidRPr="00F02ABE">
              <w:rPr>
                <w:rFonts w:ascii="Times New Roman" w:hAnsi="Times New Roman"/>
                <w:b/>
                <w:sz w:val="24"/>
                <w:szCs w:val="24"/>
                <w:lang w:eastAsia="pt-BR"/>
              </w:rPr>
              <w:t>/202</w:t>
            </w:r>
            <w:r>
              <w:rPr>
                <w:rFonts w:ascii="Times New Roman" w:hAnsi="Times New Roman"/>
                <w:b/>
                <w:sz w:val="24"/>
                <w:szCs w:val="24"/>
                <w:lang w:eastAsia="pt-BR"/>
              </w:rPr>
              <w:t>4</w:t>
            </w:r>
          </w:p>
        </w:tc>
        <w:tc>
          <w:tcPr>
            <w:tcW w:w="2680" w:type="dxa"/>
          </w:tcPr>
          <w:p w14:paraId="75CA2DD0"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31/12/202</w:t>
            </w:r>
            <w:r>
              <w:rPr>
                <w:rFonts w:ascii="Times New Roman" w:hAnsi="Times New Roman"/>
                <w:b/>
                <w:sz w:val="24"/>
                <w:szCs w:val="24"/>
                <w:lang w:eastAsia="pt-BR"/>
              </w:rPr>
              <w:t>3</w:t>
            </w:r>
          </w:p>
        </w:tc>
        <w:tc>
          <w:tcPr>
            <w:tcW w:w="1574" w:type="dxa"/>
          </w:tcPr>
          <w:p w14:paraId="684C86A3"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AH(%)</w:t>
            </w:r>
          </w:p>
        </w:tc>
        <w:tc>
          <w:tcPr>
            <w:tcW w:w="2155" w:type="dxa"/>
          </w:tcPr>
          <w:p w14:paraId="5AD601A4" w14:textId="5383F2FF"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AV(%)202</w:t>
            </w:r>
            <w:r w:rsidR="00455580">
              <w:rPr>
                <w:rFonts w:ascii="Times New Roman" w:hAnsi="Times New Roman"/>
                <w:b/>
                <w:sz w:val="24"/>
                <w:szCs w:val="24"/>
                <w:lang w:eastAsia="pt-BR"/>
              </w:rPr>
              <w:t>4</w:t>
            </w:r>
          </w:p>
        </w:tc>
      </w:tr>
      <w:tr w:rsidR="00CB2FF5" w:rsidRPr="00F02ABE" w14:paraId="5B6614A2" w14:textId="77777777" w:rsidTr="00242CBD">
        <w:tc>
          <w:tcPr>
            <w:tcW w:w="2672" w:type="dxa"/>
          </w:tcPr>
          <w:p w14:paraId="1764C880"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Aluguéis</w:t>
            </w:r>
          </w:p>
        </w:tc>
        <w:tc>
          <w:tcPr>
            <w:tcW w:w="2680" w:type="dxa"/>
          </w:tcPr>
          <w:p w14:paraId="106C96F1"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2</w:t>
            </w:r>
            <w:r w:rsidRPr="00F02ABE">
              <w:rPr>
                <w:rFonts w:ascii="Times New Roman" w:hAnsi="Times New Roman"/>
                <w:sz w:val="24"/>
                <w:szCs w:val="24"/>
                <w:lang w:eastAsia="pt-BR"/>
              </w:rPr>
              <w:t>0</w:t>
            </w:r>
            <w:r>
              <w:rPr>
                <w:rFonts w:ascii="Times New Roman" w:hAnsi="Times New Roman"/>
                <w:sz w:val="24"/>
                <w:szCs w:val="24"/>
                <w:lang w:eastAsia="pt-BR"/>
              </w:rPr>
              <w:t>3</w:t>
            </w:r>
            <w:r w:rsidRPr="00F02ABE">
              <w:rPr>
                <w:rFonts w:ascii="Times New Roman" w:hAnsi="Times New Roman"/>
                <w:sz w:val="24"/>
                <w:szCs w:val="24"/>
                <w:lang w:eastAsia="pt-BR"/>
              </w:rPr>
              <w:t>,</w:t>
            </w:r>
            <w:r>
              <w:rPr>
                <w:rFonts w:ascii="Times New Roman" w:hAnsi="Times New Roman"/>
                <w:sz w:val="24"/>
                <w:szCs w:val="24"/>
                <w:lang w:eastAsia="pt-BR"/>
              </w:rPr>
              <w:t>8</w:t>
            </w:r>
            <w:r w:rsidRPr="00F02ABE">
              <w:rPr>
                <w:rFonts w:ascii="Times New Roman" w:hAnsi="Times New Roman"/>
                <w:sz w:val="24"/>
                <w:szCs w:val="24"/>
                <w:lang w:eastAsia="pt-BR"/>
              </w:rPr>
              <w:t>0</w:t>
            </w:r>
          </w:p>
        </w:tc>
        <w:tc>
          <w:tcPr>
            <w:tcW w:w="2680" w:type="dxa"/>
          </w:tcPr>
          <w:p w14:paraId="30E7571F"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203,80</w:t>
            </w:r>
          </w:p>
        </w:tc>
        <w:tc>
          <w:tcPr>
            <w:tcW w:w="1574" w:type="dxa"/>
          </w:tcPr>
          <w:p w14:paraId="36060340"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sidRPr="00F02ABE">
              <w:rPr>
                <w:rFonts w:ascii="Times New Roman" w:hAnsi="Times New Roman"/>
                <w:sz w:val="24"/>
                <w:szCs w:val="24"/>
                <w:lang w:eastAsia="pt-BR"/>
              </w:rPr>
              <w:t>0,00</w:t>
            </w:r>
          </w:p>
        </w:tc>
        <w:tc>
          <w:tcPr>
            <w:tcW w:w="2155" w:type="dxa"/>
          </w:tcPr>
          <w:p w14:paraId="1FB77090"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sidRPr="00F02ABE">
              <w:rPr>
                <w:rFonts w:ascii="Times New Roman" w:hAnsi="Times New Roman"/>
                <w:sz w:val="24"/>
                <w:szCs w:val="24"/>
                <w:lang w:eastAsia="pt-BR"/>
              </w:rPr>
              <w:t>0,00</w:t>
            </w:r>
          </w:p>
        </w:tc>
      </w:tr>
      <w:tr w:rsidR="00CB2FF5" w:rsidRPr="00F02ABE" w14:paraId="46E1B696" w14:textId="77777777" w:rsidTr="00242CBD">
        <w:tc>
          <w:tcPr>
            <w:tcW w:w="2672" w:type="dxa"/>
          </w:tcPr>
          <w:p w14:paraId="76328043"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Fornecimento de Bens</w:t>
            </w:r>
          </w:p>
        </w:tc>
        <w:tc>
          <w:tcPr>
            <w:tcW w:w="2680" w:type="dxa"/>
          </w:tcPr>
          <w:p w14:paraId="0A6F7C62" w14:textId="6BECD150" w:rsidR="00CB2FF5" w:rsidRPr="00F02ABE" w:rsidRDefault="00C21D7A"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319.293,74</w:t>
            </w:r>
          </w:p>
        </w:tc>
        <w:tc>
          <w:tcPr>
            <w:tcW w:w="2680" w:type="dxa"/>
          </w:tcPr>
          <w:p w14:paraId="720380C2"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152.733,19</w:t>
            </w:r>
          </w:p>
        </w:tc>
        <w:tc>
          <w:tcPr>
            <w:tcW w:w="1574" w:type="dxa"/>
          </w:tcPr>
          <w:p w14:paraId="0B6F856C" w14:textId="3173EEE9" w:rsidR="00CB2FF5" w:rsidRPr="00F02ABE" w:rsidRDefault="00C21D7A"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109,05</w:t>
            </w:r>
          </w:p>
        </w:tc>
        <w:tc>
          <w:tcPr>
            <w:tcW w:w="2155" w:type="dxa"/>
          </w:tcPr>
          <w:p w14:paraId="505E25EC" w14:textId="496D7F46" w:rsidR="00CB2FF5" w:rsidRPr="00F02ABE" w:rsidRDefault="00C21D7A" w:rsidP="00C21D7A">
            <w:pPr>
              <w:tabs>
                <w:tab w:val="left" w:pos="735"/>
                <w:tab w:val="center" w:pos="969"/>
              </w:tabs>
              <w:autoSpaceDE w:val="0"/>
              <w:autoSpaceDN w:val="0"/>
              <w:adjustRightInd w:val="0"/>
              <w:spacing w:after="0" w:line="240" w:lineRule="auto"/>
              <w:rPr>
                <w:rFonts w:ascii="Times New Roman" w:hAnsi="Times New Roman"/>
                <w:sz w:val="24"/>
                <w:szCs w:val="24"/>
                <w:lang w:eastAsia="pt-BR"/>
              </w:rPr>
            </w:pPr>
            <w:r>
              <w:rPr>
                <w:rFonts w:ascii="Times New Roman" w:hAnsi="Times New Roman"/>
                <w:sz w:val="24"/>
                <w:szCs w:val="24"/>
                <w:lang w:eastAsia="pt-BR"/>
              </w:rPr>
              <w:tab/>
              <w:t>1,33</w:t>
            </w:r>
          </w:p>
        </w:tc>
      </w:tr>
      <w:tr w:rsidR="00CB2FF5" w:rsidRPr="00F02ABE" w14:paraId="115B4B7D" w14:textId="77777777" w:rsidTr="00242CBD">
        <w:tc>
          <w:tcPr>
            <w:tcW w:w="2672" w:type="dxa"/>
          </w:tcPr>
          <w:p w14:paraId="5C2668E4"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Serviços</w:t>
            </w:r>
          </w:p>
        </w:tc>
        <w:tc>
          <w:tcPr>
            <w:tcW w:w="2680" w:type="dxa"/>
          </w:tcPr>
          <w:p w14:paraId="4892C8D8" w14:textId="5599EB82" w:rsidR="00CB2FF5" w:rsidRPr="00F02ABE" w:rsidRDefault="00915FA4" w:rsidP="00242CBD">
            <w:pPr>
              <w:autoSpaceDE w:val="0"/>
              <w:autoSpaceDN w:val="0"/>
              <w:adjustRightInd w:val="0"/>
              <w:spacing w:after="0" w:line="240" w:lineRule="auto"/>
              <w:jc w:val="right"/>
              <w:rPr>
                <w:rFonts w:ascii="Times New Roman" w:hAnsi="Times New Roman"/>
                <w:sz w:val="24"/>
                <w:szCs w:val="24"/>
                <w:lang w:eastAsia="pt-BR"/>
              </w:rPr>
            </w:pPr>
            <w:r w:rsidRPr="00915FA4">
              <w:rPr>
                <w:rFonts w:ascii="Times New Roman" w:hAnsi="Times New Roman"/>
                <w:sz w:val="24"/>
                <w:szCs w:val="24"/>
                <w:lang w:eastAsia="pt-BR"/>
              </w:rPr>
              <w:t>2</w:t>
            </w:r>
            <w:r w:rsidR="00C21D7A">
              <w:rPr>
                <w:rFonts w:ascii="Times New Roman" w:hAnsi="Times New Roman"/>
                <w:sz w:val="24"/>
                <w:szCs w:val="24"/>
                <w:lang w:eastAsia="pt-BR"/>
              </w:rPr>
              <w:t>7.856.081,57</w:t>
            </w:r>
          </w:p>
        </w:tc>
        <w:tc>
          <w:tcPr>
            <w:tcW w:w="2680" w:type="dxa"/>
          </w:tcPr>
          <w:p w14:paraId="422FF464"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22.353.949,71</w:t>
            </w:r>
          </w:p>
        </w:tc>
        <w:tc>
          <w:tcPr>
            <w:tcW w:w="1574" w:type="dxa"/>
          </w:tcPr>
          <w:p w14:paraId="44BF65B6" w14:textId="21EF5A52" w:rsidR="00CB2FF5" w:rsidRPr="00F02ABE" w:rsidRDefault="00C21D7A"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24,61</w:t>
            </w:r>
          </w:p>
        </w:tc>
        <w:tc>
          <w:tcPr>
            <w:tcW w:w="2155" w:type="dxa"/>
          </w:tcPr>
          <w:p w14:paraId="7DADD898" w14:textId="46983A41" w:rsidR="00CB2FF5" w:rsidRPr="00F02ABE" w:rsidRDefault="00727CE2"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9</w:t>
            </w:r>
            <w:r w:rsidR="00C21D7A">
              <w:rPr>
                <w:rFonts w:ascii="Times New Roman" w:hAnsi="Times New Roman"/>
                <w:sz w:val="24"/>
                <w:szCs w:val="24"/>
                <w:lang w:eastAsia="pt-BR"/>
              </w:rPr>
              <w:t>8,87</w:t>
            </w:r>
          </w:p>
        </w:tc>
      </w:tr>
      <w:tr w:rsidR="00CB2FF5" w:rsidRPr="00F02ABE" w14:paraId="73057323" w14:textId="77777777" w:rsidTr="00242CBD">
        <w:tc>
          <w:tcPr>
            <w:tcW w:w="2672" w:type="dxa"/>
          </w:tcPr>
          <w:p w14:paraId="766BAF15"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lang w:eastAsia="pt-BR"/>
              </w:rPr>
            </w:pPr>
            <w:r w:rsidRPr="00F02ABE">
              <w:rPr>
                <w:rFonts w:ascii="Times New Roman" w:hAnsi="Times New Roman"/>
                <w:b/>
                <w:sz w:val="24"/>
                <w:szCs w:val="24"/>
                <w:lang w:eastAsia="pt-BR"/>
              </w:rPr>
              <w:t>Total</w:t>
            </w:r>
          </w:p>
        </w:tc>
        <w:tc>
          <w:tcPr>
            <w:tcW w:w="2680" w:type="dxa"/>
          </w:tcPr>
          <w:p w14:paraId="1C28AD12" w14:textId="0FCEC801" w:rsidR="00CB2FF5" w:rsidRPr="00F02ABE" w:rsidRDefault="00767F51" w:rsidP="00242CBD">
            <w:pPr>
              <w:autoSpaceDE w:val="0"/>
              <w:autoSpaceDN w:val="0"/>
              <w:adjustRightInd w:val="0"/>
              <w:spacing w:after="0" w:line="240" w:lineRule="auto"/>
              <w:jc w:val="right"/>
              <w:rPr>
                <w:rFonts w:ascii="Times New Roman" w:hAnsi="Times New Roman"/>
                <w:b/>
                <w:sz w:val="24"/>
                <w:szCs w:val="24"/>
                <w:lang w:eastAsia="pt-BR"/>
              </w:rPr>
            </w:pPr>
            <w:r w:rsidRPr="00767F51">
              <w:rPr>
                <w:rFonts w:ascii="Times New Roman" w:hAnsi="Times New Roman"/>
                <w:b/>
                <w:sz w:val="24"/>
                <w:szCs w:val="24"/>
                <w:lang w:eastAsia="pt-BR"/>
              </w:rPr>
              <w:t>2</w:t>
            </w:r>
            <w:r w:rsidR="00C21D7A">
              <w:rPr>
                <w:rFonts w:ascii="Times New Roman" w:hAnsi="Times New Roman"/>
                <w:b/>
                <w:sz w:val="24"/>
                <w:szCs w:val="24"/>
                <w:lang w:eastAsia="pt-BR"/>
              </w:rPr>
              <w:t>8.175.579,11</w:t>
            </w:r>
          </w:p>
        </w:tc>
        <w:tc>
          <w:tcPr>
            <w:tcW w:w="2680" w:type="dxa"/>
          </w:tcPr>
          <w:p w14:paraId="5F844981"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Pr>
                <w:rFonts w:ascii="Times New Roman" w:hAnsi="Times New Roman"/>
                <w:b/>
                <w:sz w:val="24"/>
                <w:szCs w:val="24"/>
                <w:lang w:eastAsia="pt-BR"/>
              </w:rPr>
              <w:t>22.506.886,70</w:t>
            </w:r>
          </w:p>
        </w:tc>
        <w:tc>
          <w:tcPr>
            <w:tcW w:w="1574" w:type="dxa"/>
          </w:tcPr>
          <w:p w14:paraId="7104BC04" w14:textId="7A5AE291" w:rsidR="00CB2FF5" w:rsidRPr="00F02ABE" w:rsidRDefault="00591193" w:rsidP="00242CBD">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25,19</w:t>
            </w:r>
          </w:p>
        </w:tc>
        <w:tc>
          <w:tcPr>
            <w:tcW w:w="2155" w:type="dxa"/>
          </w:tcPr>
          <w:p w14:paraId="5DADE3B5"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100</w:t>
            </w:r>
          </w:p>
        </w:tc>
      </w:tr>
    </w:tbl>
    <w:p w14:paraId="331F047F" w14:textId="6D1C3C55" w:rsidR="00CB2FF5" w:rsidRDefault="00CB2FF5" w:rsidP="00CB2FF5">
      <w:pPr>
        <w:autoSpaceDE w:val="0"/>
        <w:autoSpaceDN w:val="0"/>
        <w:adjustRightInd w:val="0"/>
        <w:spacing w:after="0" w:line="240" w:lineRule="auto"/>
        <w:ind w:left="1701"/>
        <w:jc w:val="both"/>
        <w:rPr>
          <w:rFonts w:ascii="Times New Roman" w:hAnsi="Times New Roman"/>
          <w:sz w:val="20"/>
          <w:szCs w:val="20"/>
          <w:lang w:eastAsia="pt-BR"/>
        </w:rPr>
      </w:pPr>
      <w:r w:rsidRPr="0030389E">
        <w:rPr>
          <w:rFonts w:ascii="Times New Roman" w:hAnsi="Times New Roman"/>
          <w:sz w:val="20"/>
          <w:szCs w:val="20"/>
          <w:lang w:eastAsia="pt-BR"/>
        </w:rPr>
        <w:t>Fonte: Tesouro Gerencial e SIAFI, 202</w:t>
      </w:r>
      <w:r w:rsidR="00081F36">
        <w:rPr>
          <w:rFonts w:ascii="Times New Roman" w:hAnsi="Times New Roman"/>
          <w:sz w:val="20"/>
          <w:szCs w:val="20"/>
          <w:lang w:eastAsia="pt-BR"/>
        </w:rPr>
        <w:t>4</w:t>
      </w:r>
      <w:r w:rsidRPr="0030389E">
        <w:rPr>
          <w:rFonts w:ascii="Times New Roman" w:hAnsi="Times New Roman"/>
          <w:sz w:val="20"/>
          <w:szCs w:val="20"/>
          <w:lang w:eastAsia="pt-BR"/>
        </w:rPr>
        <w:t>.</w:t>
      </w:r>
    </w:p>
    <w:p w14:paraId="6F438D80" w14:textId="77777777" w:rsidR="008E689C" w:rsidRPr="0030389E" w:rsidRDefault="008E689C" w:rsidP="00CB2FF5">
      <w:pPr>
        <w:autoSpaceDE w:val="0"/>
        <w:autoSpaceDN w:val="0"/>
        <w:adjustRightInd w:val="0"/>
        <w:spacing w:after="0" w:line="240" w:lineRule="auto"/>
        <w:ind w:left="1701"/>
        <w:jc w:val="both"/>
        <w:rPr>
          <w:rFonts w:ascii="Times New Roman" w:hAnsi="Times New Roman"/>
          <w:b/>
          <w:bCs/>
          <w:sz w:val="20"/>
          <w:szCs w:val="20"/>
        </w:rPr>
      </w:pPr>
    </w:p>
    <w:p w14:paraId="32A9D577" w14:textId="22E60360" w:rsidR="00CB2FF5" w:rsidRDefault="00CB2FF5" w:rsidP="00CB2FF5">
      <w:pPr>
        <w:pStyle w:val="Default"/>
        <w:ind w:left="1701"/>
        <w:jc w:val="both"/>
      </w:pPr>
      <w:r w:rsidRPr="00F02ABE">
        <w:t>Em seguida, apresenta-se a tabela contendo a relação de Unidades Gestoras contratantes com os valores mais expressivos na data base de 3</w:t>
      </w:r>
      <w:r w:rsidR="008E689C">
        <w:t>1</w:t>
      </w:r>
      <w:r w:rsidRPr="00F02ABE">
        <w:t>/</w:t>
      </w:r>
      <w:r w:rsidR="008E689C">
        <w:t>12</w:t>
      </w:r>
      <w:r w:rsidRPr="00F02ABE">
        <w:t>/202</w:t>
      </w:r>
      <w:r>
        <w:t>4</w:t>
      </w:r>
      <w:r w:rsidRPr="00F02ABE">
        <w:t xml:space="preserve">. </w:t>
      </w:r>
    </w:p>
    <w:p w14:paraId="71F69E86" w14:textId="77777777" w:rsidR="00061667" w:rsidRPr="00F02ABE" w:rsidRDefault="00061667" w:rsidP="00CB2FF5">
      <w:pPr>
        <w:pStyle w:val="Default"/>
        <w:ind w:left="1701"/>
        <w:jc w:val="both"/>
      </w:pPr>
    </w:p>
    <w:p w14:paraId="386EFD5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rPr>
      </w:pPr>
      <w:r w:rsidRPr="00F02ABE">
        <w:rPr>
          <w:rFonts w:ascii="Times New Roman" w:hAnsi="Times New Roman"/>
          <w:b/>
          <w:bCs/>
          <w:sz w:val="24"/>
          <w:szCs w:val="24"/>
        </w:rPr>
        <w:t>Tabela 16- Obrigações Contratuais - Por Órgão Contratante.</w:t>
      </w:r>
    </w:p>
    <w:p w14:paraId="14F9B48C"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Cs/>
          <w:sz w:val="24"/>
          <w:szCs w:val="24"/>
        </w:rPr>
      </w:pPr>
      <w:r w:rsidRPr="00F02ABE">
        <w:rPr>
          <w:rFonts w:ascii="Times New Roman" w:hAnsi="Times New Roman"/>
          <w:bCs/>
          <w:sz w:val="24"/>
          <w:szCs w:val="24"/>
        </w:rPr>
        <w:t xml:space="preserve">                                                                                                                                 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843"/>
        <w:gridCol w:w="1276"/>
      </w:tblGrid>
      <w:tr w:rsidR="00CB2FF5" w:rsidRPr="00F02ABE" w14:paraId="7659B70E" w14:textId="77777777" w:rsidTr="00242CBD">
        <w:tc>
          <w:tcPr>
            <w:tcW w:w="5353" w:type="dxa"/>
          </w:tcPr>
          <w:p w14:paraId="4A900C57"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p>
        </w:tc>
        <w:tc>
          <w:tcPr>
            <w:tcW w:w="1843" w:type="dxa"/>
          </w:tcPr>
          <w:p w14:paraId="13364943" w14:textId="0F1A523F"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3</w:t>
            </w:r>
            <w:r w:rsidR="00C21D7A">
              <w:rPr>
                <w:rFonts w:ascii="Times New Roman" w:hAnsi="Times New Roman"/>
                <w:b/>
                <w:sz w:val="24"/>
                <w:szCs w:val="24"/>
                <w:lang w:eastAsia="pt-BR"/>
              </w:rPr>
              <w:t>1</w:t>
            </w:r>
            <w:r w:rsidRPr="00F02ABE">
              <w:rPr>
                <w:rFonts w:ascii="Times New Roman" w:hAnsi="Times New Roman"/>
                <w:b/>
                <w:sz w:val="24"/>
                <w:szCs w:val="24"/>
                <w:lang w:eastAsia="pt-BR"/>
              </w:rPr>
              <w:t>/</w:t>
            </w:r>
            <w:r w:rsidR="008741D5">
              <w:rPr>
                <w:rFonts w:ascii="Times New Roman" w:hAnsi="Times New Roman"/>
                <w:b/>
                <w:sz w:val="24"/>
                <w:szCs w:val="24"/>
                <w:lang w:eastAsia="pt-BR"/>
              </w:rPr>
              <w:t>12</w:t>
            </w:r>
            <w:r w:rsidRPr="00F02ABE">
              <w:rPr>
                <w:rFonts w:ascii="Times New Roman" w:hAnsi="Times New Roman"/>
                <w:b/>
                <w:sz w:val="24"/>
                <w:szCs w:val="24"/>
                <w:lang w:eastAsia="pt-BR"/>
              </w:rPr>
              <w:t>/202</w:t>
            </w:r>
            <w:r>
              <w:rPr>
                <w:rFonts w:ascii="Times New Roman" w:hAnsi="Times New Roman"/>
                <w:b/>
                <w:sz w:val="24"/>
                <w:szCs w:val="24"/>
                <w:lang w:eastAsia="pt-BR"/>
              </w:rPr>
              <w:t>4</w:t>
            </w:r>
          </w:p>
        </w:tc>
        <w:tc>
          <w:tcPr>
            <w:tcW w:w="1276" w:type="dxa"/>
          </w:tcPr>
          <w:p w14:paraId="24A55925" w14:textId="5EE14244"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AV</w:t>
            </w:r>
            <w:r w:rsidR="00511AD4">
              <w:rPr>
                <w:rFonts w:ascii="Times New Roman" w:hAnsi="Times New Roman"/>
                <w:b/>
                <w:sz w:val="24"/>
                <w:szCs w:val="24"/>
                <w:lang w:eastAsia="pt-BR"/>
              </w:rPr>
              <w:t xml:space="preserve"> </w:t>
            </w:r>
            <w:r w:rsidRPr="00F02ABE">
              <w:rPr>
                <w:rFonts w:ascii="Times New Roman" w:hAnsi="Times New Roman"/>
                <w:b/>
                <w:sz w:val="24"/>
                <w:szCs w:val="24"/>
                <w:lang w:eastAsia="pt-BR"/>
              </w:rPr>
              <w:t>(%)</w:t>
            </w:r>
          </w:p>
        </w:tc>
      </w:tr>
      <w:tr w:rsidR="00CB2FF5" w:rsidRPr="00F02ABE" w14:paraId="57CD785F" w14:textId="77777777" w:rsidTr="00242CBD">
        <w:tc>
          <w:tcPr>
            <w:tcW w:w="5353" w:type="dxa"/>
          </w:tcPr>
          <w:p w14:paraId="6AD09363" w14:textId="77777777" w:rsidR="00CB2FF5" w:rsidRPr="00F02ABE" w:rsidRDefault="00CB2FF5" w:rsidP="00242CBD">
            <w:pPr>
              <w:autoSpaceDE w:val="0"/>
              <w:autoSpaceDN w:val="0"/>
              <w:adjustRightInd w:val="0"/>
              <w:spacing w:after="0" w:line="240" w:lineRule="auto"/>
              <w:jc w:val="both"/>
              <w:rPr>
                <w:rFonts w:ascii="Times New Roman" w:hAnsi="Times New Roman"/>
                <w:b/>
                <w:bCs/>
                <w:sz w:val="24"/>
                <w:szCs w:val="24"/>
                <w:lang w:eastAsia="pt-BR"/>
              </w:rPr>
            </w:pPr>
            <w:r w:rsidRPr="00F02ABE">
              <w:rPr>
                <w:rFonts w:ascii="Times New Roman" w:hAnsi="Times New Roman"/>
                <w:b/>
                <w:bCs/>
                <w:sz w:val="24"/>
                <w:szCs w:val="24"/>
                <w:lang w:eastAsia="pt-BR"/>
              </w:rPr>
              <w:t xml:space="preserve">UG 1: </w:t>
            </w:r>
            <w:r w:rsidRPr="008A6FB8">
              <w:rPr>
                <w:rFonts w:ascii="Times New Roman" w:hAnsi="Times New Roman"/>
                <w:b/>
                <w:bCs/>
                <w:sz w:val="24"/>
                <w:szCs w:val="24"/>
                <w:lang w:eastAsia="pt-BR"/>
              </w:rPr>
              <w:t>158</w:t>
            </w:r>
            <w:r>
              <w:rPr>
                <w:rFonts w:ascii="Times New Roman" w:hAnsi="Times New Roman"/>
                <w:b/>
                <w:bCs/>
                <w:sz w:val="24"/>
                <w:szCs w:val="24"/>
                <w:lang w:eastAsia="pt-BR"/>
              </w:rPr>
              <w:t>146</w:t>
            </w:r>
            <w:r w:rsidRPr="008A6FB8">
              <w:rPr>
                <w:rFonts w:ascii="Times New Roman" w:hAnsi="Times New Roman"/>
                <w:b/>
                <w:bCs/>
                <w:sz w:val="24"/>
                <w:szCs w:val="24"/>
                <w:lang w:eastAsia="pt-BR"/>
              </w:rPr>
              <w:t xml:space="preserve"> – </w:t>
            </w:r>
            <w:r>
              <w:rPr>
                <w:rFonts w:ascii="Times New Roman" w:hAnsi="Times New Roman"/>
                <w:b/>
                <w:bCs/>
                <w:sz w:val="24"/>
                <w:szCs w:val="24"/>
                <w:lang w:eastAsia="pt-BR"/>
              </w:rPr>
              <w:t>Reitoria</w:t>
            </w:r>
          </w:p>
        </w:tc>
        <w:tc>
          <w:tcPr>
            <w:tcW w:w="1843" w:type="dxa"/>
          </w:tcPr>
          <w:p w14:paraId="5EB32E2E" w14:textId="71AA893F" w:rsidR="00CB2FF5" w:rsidRPr="00F02ABE" w:rsidRDefault="00960C47" w:rsidP="00242CBD">
            <w:pPr>
              <w:spacing w:after="0" w:line="240" w:lineRule="auto"/>
              <w:jc w:val="right"/>
              <w:rPr>
                <w:rFonts w:ascii="Times New Roman" w:hAnsi="Times New Roman"/>
                <w:b/>
                <w:bCs/>
                <w:sz w:val="24"/>
                <w:szCs w:val="24"/>
                <w:lang w:eastAsia="pt-BR"/>
              </w:rPr>
            </w:pPr>
            <w:r w:rsidRPr="00960C47">
              <w:rPr>
                <w:rFonts w:ascii="Times New Roman" w:hAnsi="Times New Roman"/>
                <w:b/>
                <w:bCs/>
                <w:sz w:val="24"/>
                <w:szCs w:val="24"/>
                <w:lang w:eastAsia="pt-BR"/>
              </w:rPr>
              <w:t>7.</w:t>
            </w:r>
            <w:r w:rsidR="008E689C">
              <w:rPr>
                <w:rFonts w:ascii="Times New Roman" w:hAnsi="Times New Roman"/>
                <w:b/>
                <w:bCs/>
                <w:sz w:val="24"/>
                <w:szCs w:val="24"/>
                <w:lang w:eastAsia="pt-BR"/>
              </w:rPr>
              <w:t>930.568,69</w:t>
            </w:r>
          </w:p>
        </w:tc>
        <w:tc>
          <w:tcPr>
            <w:tcW w:w="1276" w:type="dxa"/>
          </w:tcPr>
          <w:p w14:paraId="1AFF863C" w14:textId="2494DAFE" w:rsidR="00CB2FF5" w:rsidRPr="00F02ABE" w:rsidRDefault="0040306D" w:rsidP="00242CBD">
            <w:pPr>
              <w:autoSpaceDE w:val="0"/>
              <w:autoSpaceDN w:val="0"/>
              <w:adjustRightInd w:val="0"/>
              <w:spacing w:after="0" w:line="240" w:lineRule="auto"/>
              <w:jc w:val="center"/>
              <w:rPr>
                <w:rFonts w:ascii="Times New Roman" w:hAnsi="Times New Roman"/>
                <w:b/>
                <w:bCs/>
                <w:sz w:val="24"/>
                <w:szCs w:val="24"/>
                <w:lang w:eastAsia="pt-BR"/>
              </w:rPr>
            </w:pPr>
            <w:r>
              <w:rPr>
                <w:rFonts w:ascii="Times New Roman" w:hAnsi="Times New Roman"/>
                <w:b/>
                <w:bCs/>
                <w:sz w:val="24"/>
                <w:szCs w:val="24"/>
                <w:lang w:eastAsia="pt-BR"/>
              </w:rPr>
              <w:t>2</w:t>
            </w:r>
            <w:r w:rsidR="0017528C">
              <w:rPr>
                <w:rFonts w:ascii="Times New Roman" w:hAnsi="Times New Roman"/>
                <w:b/>
                <w:bCs/>
                <w:sz w:val="24"/>
                <w:szCs w:val="24"/>
                <w:lang w:eastAsia="pt-BR"/>
              </w:rPr>
              <w:t>8,15</w:t>
            </w:r>
          </w:p>
        </w:tc>
      </w:tr>
      <w:tr w:rsidR="00DE306A" w:rsidRPr="00F02ABE" w14:paraId="4212DA3B" w14:textId="77777777" w:rsidTr="00242CBD">
        <w:tc>
          <w:tcPr>
            <w:tcW w:w="5353" w:type="dxa"/>
          </w:tcPr>
          <w:p w14:paraId="3F739926" w14:textId="3DFDFC5F" w:rsidR="00DE306A" w:rsidRPr="00A33412" w:rsidRDefault="00DE306A" w:rsidP="00242CBD">
            <w:pPr>
              <w:autoSpaceDE w:val="0"/>
              <w:autoSpaceDN w:val="0"/>
              <w:adjustRightInd w:val="0"/>
              <w:spacing w:after="0" w:line="240" w:lineRule="auto"/>
              <w:jc w:val="both"/>
              <w:rPr>
                <w:rFonts w:ascii="Times New Roman" w:hAnsi="Times New Roman"/>
                <w:sz w:val="24"/>
                <w:szCs w:val="24"/>
                <w:lang w:eastAsia="pt-BR"/>
              </w:rPr>
            </w:pPr>
            <w:r w:rsidRPr="00A33412">
              <w:rPr>
                <w:rFonts w:ascii="Times New Roman" w:hAnsi="Times New Roman"/>
                <w:sz w:val="24"/>
                <w:szCs w:val="24"/>
                <w:lang w:eastAsia="pt-BR"/>
              </w:rPr>
              <w:t xml:space="preserve">UG 2: 158361 – Campus </w:t>
            </w:r>
            <w:r w:rsidR="00F17959" w:rsidRPr="00A33412">
              <w:rPr>
                <w:rFonts w:ascii="Times New Roman" w:hAnsi="Times New Roman"/>
                <w:sz w:val="24"/>
                <w:szCs w:val="24"/>
                <w:lang w:eastAsia="pt-BR"/>
              </w:rPr>
              <w:t>São Raimundo Nonato</w:t>
            </w:r>
          </w:p>
        </w:tc>
        <w:tc>
          <w:tcPr>
            <w:tcW w:w="1843" w:type="dxa"/>
          </w:tcPr>
          <w:p w14:paraId="50C713C1" w14:textId="7F9AA4D3" w:rsidR="00DE306A" w:rsidRPr="00A33412" w:rsidRDefault="0017528C" w:rsidP="00242CBD">
            <w:pPr>
              <w:spacing w:after="0" w:line="240" w:lineRule="auto"/>
              <w:jc w:val="right"/>
              <w:rPr>
                <w:rFonts w:ascii="Times New Roman" w:hAnsi="Times New Roman"/>
                <w:sz w:val="24"/>
                <w:szCs w:val="24"/>
                <w:lang w:eastAsia="pt-BR"/>
              </w:rPr>
            </w:pPr>
            <w:r>
              <w:rPr>
                <w:rFonts w:ascii="Times New Roman" w:hAnsi="Times New Roman"/>
                <w:sz w:val="24"/>
                <w:szCs w:val="24"/>
                <w:lang w:eastAsia="pt-BR"/>
              </w:rPr>
              <w:t>3.083.596,43</w:t>
            </w:r>
          </w:p>
        </w:tc>
        <w:tc>
          <w:tcPr>
            <w:tcW w:w="1276" w:type="dxa"/>
          </w:tcPr>
          <w:p w14:paraId="004DC1DD" w14:textId="2225BECB" w:rsidR="00DE306A" w:rsidRPr="0017528C" w:rsidRDefault="0017528C" w:rsidP="00242CBD">
            <w:pPr>
              <w:autoSpaceDE w:val="0"/>
              <w:autoSpaceDN w:val="0"/>
              <w:adjustRightInd w:val="0"/>
              <w:spacing w:after="0" w:line="240" w:lineRule="auto"/>
              <w:jc w:val="center"/>
              <w:rPr>
                <w:rFonts w:ascii="Times New Roman" w:hAnsi="Times New Roman"/>
                <w:sz w:val="24"/>
                <w:szCs w:val="24"/>
                <w:lang w:eastAsia="pt-BR"/>
              </w:rPr>
            </w:pPr>
            <w:r w:rsidRPr="0017528C">
              <w:rPr>
                <w:rFonts w:ascii="Times New Roman" w:hAnsi="Times New Roman"/>
                <w:sz w:val="24"/>
                <w:szCs w:val="24"/>
                <w:lang w:eastAsia="pt-BR"/>
              </w:rPr>
              <w:t>10,94</w:t>
            </w:r>
          </w:p>
        </w:tc>
      </w:tr>
      <w:tr w:rsidR="00CB2FF5" w:rsidRPr="00F02ABE" w14:paraId="388E20F6" w14:textId="77777777" w:rsidTr="00242CBD">
        <w:tc>
          <w:tcPr>
            <w:tcW w:w="5353" w:type="dxa"/>
          </w:tcPr>
          <w:p w14:paraId="008FC6C8" w14:textId="77777777" w:rsidR="00CB2FF5" w:rsidRPr="000A16BC"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 xml:space="preserve">Demais </w:t>
            </w:r>
            <w:proofErr w:type="spellStart"/>
            <w:r w:rsidRPr="00F02ABE">
              <w:rPr>
                <w:rFonts w:ascii="Times New Roman" w:hAnsi="Times New Roman"/>
                <w:sz w:val="24"/>
                <w:szCs w:val="24"/>
                <w:lang w:eastAsia="pt-BR"/>
              </w:rPr>
              <w:t>UG's</w:t>
            </w:r>
            <w:proofErr w:type="spellEnd"/>
            <w:r w:rsidRPr="00F02ABE">
              <w:rPr>
                <w:rFonts w:ascii="Times New Roman" w:hAnsi="Times New Roman"/>
                <w:sz w:val="24"/>
                <w:szCs w:val="24"/>
                <w:lang w:eastAsia="pt-BR"/>
              </w:rPr>
              <w:t xml:space="preserve"> vinculadas ao IFPI</w:t>
            </w:r>
          </w:p>
        </w:tc>
        <w:tc>
          <w:tcPr>
            <w:tcW w:w="1843" w:type="dxa"/>
          </w:tcPr>
          <w:p w14:paraId="26C99A35" w14:textId="5E857E40" w:rsidR="00CB2FF5" w:rsidRPr="00C0687C" w:rsidRDefault="00A33412" w:rsidP="00242CBD">
            <w:pPr>
              <w:spacing w:after="0" w:line="240" w:lineRule="auto"/>
              <w:jc w:val="right"/>
              <w:rPr>
                <w:rFonts w:ascii="Times New Roman" w:hAnsi="Times New Roman"/>
                <w:sz w:val="24"/>
                <w:szCs w:val="24"/>
                <w:lang w:eastAsia="pt-BR"/>
              </w:rPr>
            </w:pPr>
            <w:r w:rsidRPr="00A33412">
              <w:rPr>
                <w:rFonts w:ascii="Times New Roman" w:hAnsi="Times New Roman"/>
                <w:sz w:val="24"/>
                <w:szCs w:val="24"/>
                <w:lang w:eastAsia="pt-BR"/>
              </w:rPr>
              <w:t>1</w:t>
            </w:r>
            <w:r w:rsidR="0017528C">
              <w:rPr>
                <w:rFonts w:ascii="Times New Roman" w:hAnsi="Times New Roman"/>
                <w:sz w:val="24"/>
                <w:szCs w:val="24"/>
                <w:lang w:eastAsia="pt-BR"/>
              </w:rPr>
              <w:t>7.161.413,99</w:t>
            </w:r>
          </w:p>
        </w:tc>
        <w:tc>
          <w:tcPr>
            <w:tcW w:w="1276" w:type="dxa"/>
          </w:tcPr>
          <w:p w14:paraId="1F2DBBE6" w14:textId="3F5BA1E0" w:rsidR="00CB2FF5" w:rsidRPr="00C0687C" w:rsidRDefault="0017528C"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60,91</w:t>
            </w:r>
          </w:p>
        </w:tc>
      </w:tr>
      <w:tr w:rsidR="00CB2FF5" w:rsidRPr="00F02ABE" w14:paraId="75434BD4" w14:textId="77777777" w:rsidTr="00242CBD">
        <w:tc>
          <w:tcPr>
            <w:tcW w:w="5353" w:type="dxa"/>
          </w:tcPr>
          <w:p w14:paraId="3811435C"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lang w:eastAsia="pt-BR"/>
              </w:rPr>
            </w:pPr>
            <w:r w:rsidRPr="00F02ABE">
              <w:rPr>
                <w:rFonts w:ascii="Times New Roman" w:hAnsi="Times New Roman"/>
                <w:b/>
                <w:sz w:val="24"/>
                <w:szCs w:val="24"/>
                <w:lang w:eastAsia="pt-BR"/>
              </w:rPr>
              <w:t>Total</w:t>
            </w:r>
          </w:p>
        </w:tc>
        <w:tc>
          <w:tcPr>
            <w:tcW w:w="1843" w:type="dxa"/>
          </w:tcPr>
          <w:p w14:paraId="0951ED01" w14:textId="058ECE3B" w:rsidR="00CB2FF5" w:rsidRPr="00F02ABE" w:rsidRDefault="00E0191C" w:rsidP="00242CBD">
            <w:pPr>
              <w:spacing w:after="0" w:line="240" w:lineRule="auto"/>
              <w:jc w:val="right"/>
              <w:rPr>
                <w:rFonts w:ascii="Times New Roman" w:hAnsi="Times New Roman"/>
                <w:b/>
                <w:sz w:val="24"/>
                <w:szCs w:val="24"/>
                <w:lang w:eastAsia="pt-BR"/>
              </w:rPr>
            </w:pPr>
            <w:r w:rsidRPr="00E0191C">
              <w:rPr>
                <w:rFonts w:ascii="Times New Roman" w:hAnsi="Times New Roman"/>
                <w:b/>
                <w:sz w:val="24"/>
                <w:szCs w:val="24"/>
                <w:lang w:eastAsia="pt-BR"/>
              </w:rPr>
              <w:t>2</w:t>
            </w:r>
            <w:r w:rsidR="0017528C">
              <w:rPr>
                <w:rFonts w:ascii="Times New Roman" w:hAnsi="Times New Roman"/>
                <w:b/>
                <w:sz w:val="24"/>
                <w:szCs w:val="24"/>
                <w:lang w:eastAsia="pt-BR"/>
              </w:rPr>
              <w:t>8</w:t>
            </w:r>
            <w:r w:rsidR="00232F19">
              <w:rPr>
                <w:rFonts w:ascii="Times New Roman" w:hAnsi="Times New Roman"/>
                <w:b/>
                <w:sz w:val="24"/>
                <w:szCs w:val="24"/>
                <w:lang w:eastAsia="pt-BR"/>
              </w:rPr>
              <w:t>.</w:t>
            </w:r>
            <w:r w:rsidR="0017528C">
              <w:rPr>
                <w:rFonts w:ascii="Times New Roman" w:hAnsi="Times New Roman"/>
                <w:b/>
                <w:sz w:val="24"/>
                <w:szCs w:val="24"/>
                <w:lang w:eastAsia="pt-BR"/>
              </w:rPr>
              <w:t>175.579,11</w:t>
            </w:r>
          </w:p>
        </w:tc>
        <w:tc>
          <w:tcPr>
            <w:tcW w:w="1276" w:type="dxa"/>
          </w:tcPr>
          <w:p w14:paraId="26FDE4E7"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100</w:t>
            </w:r>
          </w:p>
        </w:tc>
      </w:tr>
    </w:tbl>
    <w:p w14:paraId="31C10305"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7A5D65">
        <w:rPr>
          <w:rFonts w:ascii="Times New Roman" w:hAnsi="Times New Roman"/>
          <w:sz w:val="20"/>
          <w:szCs w:val="20"/>
          <w:lang w:eastAsia="pt-BR"/>
        </w:rPr>
        <w:t>Fonte: Tesouro Gerencial e SIAFI, 2024</w:t>
      </w:r>
      <w:r w:rsidRPr="00F02ABE">
        <w:rPr>
          <w:rFonts w:ascii="Times New Roman" w:hAnsi="Times New Roman"/>
          <w:sz w:val="24"/>
          <w:szCs w:val="24"/>
          <w:lang w:eastAsia="pt-BR"/>
        </w:rPr>
        <w:t>.</w:t>
      </w:r>
    </w:p>
    <w:p w14:paraId="549DAC29" w14:textId="02B80705" w:rsidR="00CB2FF5" w:rsidRDefault="00CB2FF5" w:rsidP="00CB2FF5">
      <w:pPr>
        <w:autoSpaceDE w:val="0"/>
        <w:autoSpaceDN w:val="0"/>
        <w:adjustRightInd w:val="0"/>
        <w:spacing w:after="0" w:line="240" w:lineRule="auto"/>
        <w:ind w:left="1701"/>
        <w:jc w:val="both"/>
        <w:rPr>
          <w:rFonts w:ascii="Times New Roman" w:hAnsi="Times New Roman"/>
          <w:b/>
          <w:bCs/>
          <w:sz w:val="24"/>
          <w:szCs w:val="24"/>
        </w:rPr>
      </w:pPr>
    </w:p>
    <w:p w14:paraId="68F1F5E6" w14:textId="25736368" w:rsidR="00511AD4" w:rsidRDefault="00511AD4" w:rsidP="00CB2FF5">
      <w:pPr>
        <w:autoSpaceDE w:val="0"/>
        <w:autoSpaceDN w:val="0"/>
        <w:adjustRightInd w:val="0"/>
        <w:spacing w:after="0" w:line="240" w:lineRule="auto"/>
        <w:ind w:left="1701"/>
        <w:jc w:val="both"/>
        <w:rPr>
          <w:rFonts w:ascii="Times New Roman" w:hAnsi="Times New Roman"/>
          <w:b/>
          <w:bCs/>
          <w:sz w:val="24"/>
          <w:szCs w:val="24"/>
        </w:rPr>
      </w:pPr>
    </w:p>
    <w:p w14:paraId="56B95802" w14:textId="1F722CA8" w:rsidR="00511AD4" w:rsidRDefault="00511AD4" w:rsidP="00CB2FF5">
      <w:pPr>
        <w:autoSpaceDE w:val="0"/>
        <w:autoSpaceDN w:val="0"/>
        <w:adjustRightInd w:val="0"/>
        <w:spacing w:after="0" w:line="240" w:lineRule="auto"/>
        <w:ind w:left="1701"/>
        <w:jc w:val="both"/>
        <w:rPr>
          <w:rFonts w:ascii="Times New Roman" w:hAnsi="Times New Roman"/>
          <w:b/>
          <w:bCs/>
          <w:sz w:val="24"/>
          <w:szCs w:val="24"/>
        </w:rPr>
      </w:pPr>
    </w:p>
    <w:p w14:paraId="7A27DA08" w14:textId="77777777" w:rsidR="00511AD4" w:rsidRDefault="00511AD4" w:rsidP="00CB2FF5">
      <w:pPr>
        <w:autoSpaceDE w:val="0"/>
        <w:autoSpaceDN w:val="0"/>
        <w:adjustRightInd w:val="0"/>
        <w:spacing w:after="0" w:line="240" w:lineRule="auto"/>
        <w:ind w:left="1701"/>
        <w:jc w:val="both"/>
        <w:rPr>
          <w:rFonts w:ascii="Times New Roman" w:hAnsi="Times New Roman"/>
          <w:b/>
          <w:bCs/>
          <w:sz w:val="24"/>
          <w:szCs w:val="24"/>
        </w:rPr>
      </w:pPr>
    </w:p>
    <w:p w14:paraId="57145368" w14:textId="77777777" w:rsidR="00811F3A" w:rsidRDefault="00811F3A" w:rsidP="00CB2FF5">
      <w:pPr>
        <w:autoSpaceDE w:val="0"/>
        <w:autoSpaceDN w:val="0"/>
        <w:adjustRightInd w:val="0"/>
        <w:spacing w:after="0" w:line="240" w:lineRule="auto"/>
        <w:ind w:left="1701"/>
        <w:jc w:val="both"/>
        <w:rPr>
          <w:rFonts w:ascii="Times New Roman" w:hAnsi="Times New Roman"/>
          <w:b/>
          <w:bCs/>
          <w:sz w:val="24"/>
          <w:szCs w:val="24"/>
        </w:rPr>
      </w:pPr>
    </w:p>
    <w:p w14:paraId="3FE27677" w14:textId="63FC09E4" w:rsidR="00CB2FF5" w:rsidRDefault="00CB2FF5" w:rsidP="00CB2FF5">
      <w:pPr>
        <w:autoSpaceDE w:val="0"/>
        <w:autoSpaceDN w:val="0"/>
        <w:adjustRightInd w:val="0"/>
        <w:spacing w:after="0" w:line="240" w:lineRule="auto"/>
        <w:ind w:left="1701"/>
        <w:jc w:val="both"/>
        <w:rPr>
          <w:rFonts w:ascii="Times New Roman" w:hAnsi="Times New Roman"/>
          <w:b/>
          <w:bCs/>
          <w:sz w:val="24"/>
          <w:szCs w:val="24"/>
        </w:rPr>
      </w:pPr>
      <w:r w:rsidRPr="00F02ABE">
        <w:rPr>
          <w:rFonts w:ascii="Times New Roman" w:hAnsi="Times New Roman"/>
          <w:b/>
          <w:bCs/>
          <w:sz w:val="24"/>
          <w:szCs w:val="24"/>
        </w:rPr>
        <w:lastRenderedPageBreak/>
        <w:t>Tabela 17- Obrigações Contratuais - Por Unidade Gestora Contratante.</w:t>
      </w:r>
    </w:p>
    <w:p w14:paraId="457A17D2" w14:textId="77777777" w:rsidR="000C6CF7" w:rsidRDefault="000C6CF7" w:rsidP="00CB2FF5">
      <w:pPr>
        <w:autoSpaceDE w:val="0"/>
        <w:autoSpaceDN w:val="0"/>
        <w:adjustRightInd w:val="0"/>
        <w:spacing w:after="0" w:line="240" w:lineRule="auto"/>
        <w:ind w:left="1701"/>
        <w:jc w:val="both"/>
        <w:rPr>
          <w:rFonts w:ascii="Times New Roman" w:hAnsi="Times New Roman"/>
          <w:sz w:val="24"/>
          <w:szCs w:val="24"/>
          <w:lang w:eastAsia="pt-BR"/>
        </w:rPr>
      </w:pPr>
    </w:p>
    <w:p w14:paraId="63DA22B7" w14:textId="16A4A5D2"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r>
      <w:r w:rsidRPr="00F02ABE">
        <w:rPr>
          <w:rFonts w:ascii="Times New Roman" w:hAnsi="Times New Roman"/>
          <w:sz w:val="24"/>
          <w:szCs w:val="24"/>
          <w:lang w:eastAsia="pt-BR"/>
        </w:rPr>
        <w:tab/>
        <w:t xml:space="preserve">          R$ 1,00</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476"/>
        <w:gridCol w:w="1276"/>
      </w:tblGrid>
      <w:tr w:rsidR="00CB2FF5" w:rsidRPr="00F02ABE" w14:paraId="18B6FBCE" w14:textId="77777777" w:rsidTr="00242CBD">
        <w:tc>
          <w:tcPr>
            <w:tcW w:w="8217" w:type="dxa"/>
          </w:tcPr>
          <w:p w14:paraId="4272A5B7" w14:textId="77777777" w:rsidR="00CB2FF5" w:rsidRPr="00F02ABE" w:rsidRDefault="00CB2FF5" w:rsidP="00242CBD">
            <w:pPr>
              <w:autoSpaceDE w:val="0"/>
              <w:autoSpaceDN w:val="0"/>
              <w:adjustRightInd w:val="0"/>
              <w:spacing w:after="0" w:line="240" w:lineRule="auto"/>
              <w:jc w:val="both"/>
              <w:rPr>
                <w:rFonts w:ascii="Times New Roman" w:hAnsi="Times New Roman"/>
                <w:b/>
                <w:bCs/>
                <w:sz w:val="24"/>
                <w:szCs w:val="24"/>
                <w:lang w:eastAsia="pt-BR"/>
              </w:rPr>
            </w:pPr>
            <w:r w:rsidRPr="00F02ABE">
              <w:rPr>
                <w:rFonts w:ascii="Times New Roman" w:hAnsi="Times New Roman"/>
                <w:b/>
                <w:bCs/>
                <w:sz w:val="24"/>
                <w:szCs w:val="24"/>
                <w:lang w:eastAsia="pt-BR"/>
              </w:rPr>
              <w:t>UG : 158</w:t>
            </w:r>
            <w:r>
              <w:rPr>
                <w:rFonts w:ascii="Times New Roman" w:hAnsi="Times New Roman"/>
                <w:b/>
                <w:bCs/>
                <w:sz w:val="24"/>
                <w:szCs w:val="24"/>
                <w:lang w:eastAsia="pt-BR"/>
              </w:rPr>
              <w:t>353</w:t>
            </w:r>
            <w:r w:rsidRPr="00F02ABE">
              <w:rPr>
                <w:rFonts w:ascii="Times New Roman" w:hAnsi="Times New Roman"/>
                <w:b/>
                <w:bCs/>
                <w:sz w:val="24"/>
                <w:szCs w:val="24"/>
                <w:lang w:eastAsia="pt-BR"/>
              </w:rPr>
              <w:t xml:space="preserve"> – </w:t>
            </w:r>
            <w:r>
              <w:rPr>
                <w:rFonts w:ascii="Times New Roman" w:hAnsi="Times New Roman"/>
                <w:b/>
                <w:bCs/>
                <w:sz w:val="24"/>
                <w:szCs w:val="24"/>
                <w:lang w:eastAsia="pt-BR"/>
              </w:rPr>
              <w:t>Reitoria</w:t>
            </w:r>
          </w:p>
        </w:tc>
        <w:tc>
          <w:tcPr>
            <w:tcW w:w="1476" w:type="dxa"/>
          </w:tcPr>
          <w:p w14:paraId="434C3226" w14:textId="6AB6E6BB"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3</w:t>
            </w:r>
            <w:r w:rsidR="008741D5">
              <w:rPr>
                <w:rFonts w:ascii="Times New Roman" w:hAnsi="Times New Roman"/>
                <w:b/>
                <w:sz w:val="24"/>
                <w:szCs w:val="24"/>
                <w:lang w:eastAsia="pt-BR"/>
              </w:rPr>
              <w:t>1</w:t>
            </w:r>
            <w:r w:rsidRPr="00F02ABE">
              <w:rPr>
                <w:rFonts w:ascii="Times New Roman" w:hAnsi="Times New Roman"/>
                <w:b/>
                <w:sz w:val="24"/>
                <w:szCs w:val="24"/>
                <w:lang w:eastAsia="pt-BR"/>
              </w:rPr>
              <w:t>/</w:t>
            </w:r>
            <w:r w:rsidR="008741D5">
              <w:rPr>
                <w:rFonts w:ascii="Times New Roman" w:hAnsi="Times New Roman"/>
                <w:b/>
                <w:sz w:val="24"/>
                <w:szCs w:val="24"/>
                <w:lang w:eastAsia="pt-BR"/>
              </w:rPr>
              <w:t>12</w:t>
            </w:r>
            <w:r w:rsidRPr="00F02ABE">
              <w:rPr>
                <w:rFonts w:ascii="Times New Roman" w:hAnsi="Times New Roman"/>
                <w:b/>
                <w:sz w:val="24"/>
                <w:szCs w:val="24"/>
                <w:lang w:eastAsia="pt-BR"/>
              </w:rPr>
              <w:t>/202</w:t>
            </w:r>
            <w:r>
              <w:rPr>
                <w:rFonts w:ascii="Times New Roman" w:hAnsi="Times New Roman"/>
                <w:b/>
                <w:sz w:val="24"/>
                <w:szCs w:val="24"/>
                <w:lang w:eastAsia="pt-BR"/>
              </w:rPr>
              <w:t>4</w:t>
            </w:r>
          </w:p>
        </w:tc>
        <w:tc>
          <w:tcPr>
            <w:tcW w:w="1276" w:type="dxa"/>
          </w:tcPr>
          <w:p w14:paraId="5D2CBF62"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AV(%)</w:t>
            </w:r>
          </w:p>
        </w:tc>
      </w:tr>
      <w:tr w:rsidR="00CB2FF5" w:rsidRPr="00F02ABE" w14:paraId="14394499" w14:textId="77777777" w:rsidTr="00242CBD">
        <w:tc>
          <w:tcPr>
            <w:tcW w:w="8217" w:type="dxa"/>
          </w:tcPr>
          <w:p w14:paraId="3EE6C236" w14:textId="2F904E79"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 xml:space="preserve">Fornecedor A: </w:t>
            </w:r>
            <w:r w:rsidR="00CA7995" w:rsidRPr="00CA7995">
              <w:rPr>
                <w:rFonts w:ascii="Times New Roman" w:hAnsi="Times New Roman"/>
                <w:sz w:val="24"/>
                <w:szCs w:val="24"/>
                <w:lang w:eastAsia="pt-BR"/>
              </w:rPr>
              <w:t>BRS S</w:t>
            </w:r>
            <w:r w:rsidR="00E378B2">
              <w:rPr>
                <w:rFonts w:ascii="Times New Roman" w:hAnsi="Times New Roman"/>
                <w:sz w:val="24"/>
                <w:szCs w:val="24"/>
                <w:lang w:eastAsia="pt-BR"/>
              </w:rPr>
              <w:t xml:space="preserve">uprimentos </w:t>
            </w:r>
            <w:r w:rsidR="00CA7995" w:rsidRPr="00CA7995">
              <w:rPr>
                <w:rFonts w:ascii="Times New Roman" w:hAnsi="Times New Roman"/>
                <w:sz w:val="24"/>
                <w:szCs w:val="24"/>
                <w:lang w:eastAsia="pt-BR"/>
              </w:rPr>
              <w:t>C</w:t>
            </w:r>
            <w:r w:rsidR="00E378B2">
              <w:rPr>
                <w:rFonts w:ascii="Times New Roman" w:hAnsi="Times New Roman"/>
                <w:sz w:val="24"/>
                <w:szCs w:val="24"/>
                <w:lang w:eastAsia="pt-BR"/>
              </w:rPr>
              <w:t>orporativos</w:t>
            </w:r>
            <w:r w:rsidR="00CA7995" w:rsidRPr="00CA7995">
              <w:rPr>
                <w:rFonts w:ascii="Times New Roman" w:hAnsi="Times New Roman"/>
                <w:sz w:val="24"/>
                <w:szCs w:val="24"/>
                <w:lang w:eastAsia="pt-BR"/>
              </w:rPr>
              <w:t xml:space="preserve"> S/A</w:t>
            </w:r>
          </w:p>
        </w:tc>
        <w:tc>
          <w:tcPr>
            <w:tcW w:w="1476" w:type="dxa"/>
          </w:tcPr>
          <w:p w14:paraId="35B56A2F" w14:textId="126B924D" w:rsidR="00CB2FF5" w:rsidRPr="00F02ABE" w:rsidRDefault="00223DD3" w:rsidP="00242CBD">
            <w:pPr>
              <w:spacing w:after="0" w:line="240" w:lineRule="auto"/>
              <w:jc w:val="right"/>
              <w:rPr>
                <w:rFonts w:ascii="Times New Roman" w:hAnsi="Times New Roman"/>
                <w:sz w:val="24"/>
                <w:szCs w:val="24"/>
                <w:lang w:eastAsia="pt-BR"/>
              </w:rPr>
            </w:pPr>
            <w:r w:rsidRPr="00223DD3">
              <w:rPr>
                <w:rFonts w:ascii="Times New Roman" w:hAnsi="Times New Roman"/>
                <w:sz w:val="24"/>
                <w:szCs w:val="24"/>
                <w:lang w:eastAsia="pt-BR"/>
              </w:rPr>
              <w:t>2.9</w:t>
            </w:r>
            <w:r w:rsidR="008741D5">
              <w:rPr>
                <w:rFonts w:ascii="Times New Roman" w:hAnsi="Times New Roman"/>
                <w:sz w:val="24"/>
                <w:szCs w:val="24"/>
                <w:lang w:eastAsia="pt-BR"/>
              </w:rPr>
              <w:t>11.357,14</w:t>
            </w:r>
          </w:p>
        </w:tc>
        <w:tc>
          <w:tcPr>
            <w:tcW w:w="1276" w:type="dxa"/>
          </w:tcPr>
          <w:p w14:paraId="0BB75B61" w14:textId="567F9543" w:rsidR="00CB2FF5" w:rsidRPr="00F02ABE" w:rsidRDefault="00E553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3</w:t>
            </w:r>
            <w:r w:rsidR="008741D5">
              <w:rPr>
                <w:rFonts w:ascii="Times New Roman" w:hAnsi="Times New Roman"/>
                <w:sz w:val="24"/>
                <w:szCs w:val="24"/>
                <w:lang w:eastAsia="pt-BR"/>
              </w:rPr>
              <w:t>6,71</w:t>
            </w:r>
          </w:p>
        </w:tc>
      </w:tr>
      <w:tr w:rsidR="008741D5" w:rsidRPr="00F02ABE" w14:paraId="1DA7E00B" w14:textId="77777777" w:rsidTr="00242CBD">
        <w:tc>
          <w:tcPr>
            <w:tcW w:w="8217" w:type="dxa"/>
          </w:tcPr>
          <w:p w14:paraId="35F1E4AA" w14:textId="7ACF7F6C" w:rsidR="008741D5" w:rsidRPr="00F02ABE" w:rsidRDefault="008741D5" w:rsidP="00242CBD">
            <w:pPr>
              <w:autoSpaceDE w:val="0"/>
              <w:autoSpaceDN w:val="0"/>
              <w:adjustRightInd w:val="0"/>
              <w:spacing w:after="0" w:line="240" w:lineRule="auto"/>
              <w:jc w:val="both"/>
              <w:rPr>
                <w:rFonts w:ascii="Times New Roman" w:hAnsi="Times New Roman"/>
                <w:sz w:val="24"/>
                <w:szCs w:val="24"/>
                <w:lang w:eastAsia="pt-BR"/>
              </w:rPr>
            </w:pPr>
            <w:r>
              <w:rPr>
                <w:rFonts w:ascii="Times New Roman" w:hAnsi="Times New Roman"/>
                <w:sz w:val="24"/>
                <w:szCs w:val="24"/>
                <w:lang w:eastAsia="pt-BR"/>
              </w:rPr>
              <w:t>Fornecedor B: Construtora J M Excelência</w:t>
            </w:r>
          </w:p>
        </w:tc>
        <w:tc>
          <w:tcPr>
            <w:tcW w:w="1476" w:type="dxa"/>
          </w:tcPr>
          <w:p w14:paraId="1BDE1671" w14:textId="7442F06F" w:rsidR="008741D5" w:rsidRPr="00223DD3" w:rsidRDefault="008741D5" w:rsidP="00242CBD">
            <w:pPr>
              <w:spacing w:after="0" w:line="240" w:lineRule="auto"/>
              <w:jc w:val="right"/>
              <w:rPr>
                <w:rFonts w:ascii="Times New Roman" w:hAnsi="Times New Roman"/>
                <w:sz w:val="24"/>
                <w:szCs w:val="24"/>
                <w:lang w:eastAsia="pt-BR"/>
              </w:rPr>
            </w:pPr>
            <w:r>
              <w:rPr>
                <w:rFonts w:ascii="Times New Roman" w:hAnsi="Times New Roman"/>
                <w:sz w:val="24"/>
                <w:szCs w:val="24"/>
                <w:lang w:eastAsia="pt-BR"/>
              </w:rPr>
              <w:t>1.024.875,77</w:t>
            </w:r>
          </w:p>
        </w:tc>
        <w:tc>
          <w:tcPr>
            <w:tcW w:w="1276" w:type="dxa"/>
          </w:tcPr>
          <w:p w14:paraId="320FA7DF" w14:textId="593407F5" w:rsidR="008741D5" w:rsidRDefault="008741D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12,92</w:t>
            </w:r>
          </w:p>
        </w:tc>
      </w:tr>
      <w:tr w:rsidR="00CB2FF5" w:rsidRPr="00F02ABE" w14:paraId="60A9B4A8" w14:textId="77777777" w:rsidTr="00242CBD">
        <w:tc>
          <w:tcPr>
            <w:tcW w:w="8217" w:type="dxa"/>
          </w:tcPr>
          <w:p w14:paraId="03C2942E"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Demais Fornecedores</w:t>
            </w:r>
            <w:r>
              <w:rPr>
                <w:rFonts w:ascii="Times New Roman" w:hAnsi="Times New Roman"/>
                <w:sz w:val="24"/>
                <w:szCs w:val="24"/>
                <w:lang w:eastAsia="pt-BR"/>
              </w:rPr>
              <w:t xml:space="preserve"> da Reitoria</w:t>
            </w:r>
          </w:p>
        </w:tc>
        <w:tc>
          <w:tcPr>
            <w:tcW w:w="1476" w:type="dxa"/>
          </w:tcPr>
          <w:p w14:paraId="5ABB603B" w14:textId="6FE8F0FE" w:rsidR="00CB2FF5" w:rsidRPr="00F02ABE" w:rsidRDefault="008741D5" w:rsidP="00242CBD">
            <w:pPr>
              <w:spacing w:after="0" w:line="240" w:lineRule="auto"/>
              <w:jc w:val="right"/>
              <w:rPr>
                <w:rFonts w:ascii="Times New Roman" w:hAnsi="Times New Roman"/>
                <w:sz w:val="24"/>
                <w:szCs w:val="24"/>
                <w:lang w:eastAsia="pt-BR"/>
              </w:rPr>
            </w:pPr>
            <w:r>
              <w:rPr>
                <w:rFonts w:ascii="Times New Roman" w:hAnsi="Times New Roman"/>
                <w:sz w:val="24"/>
                <w:szCs w:val="24"/>
                <w:lang w:eastAsia="pt-BR"/>
              </w:rPr>
              <w:t>3.994.335,78</w:t>
            </w:r>
          </w:p>
        </w:tc>
        <w:tc>
          <w:tcPr>
            <w:tcW w:w="1276" w:type="dxa"/>
          </w:tcPr>
          <w:p w14:paraId="6167A820" w14:textId="6088FAF1" w:rsidR="00CB2FF5" w:rsidRPr="00F02ABE" w:rsidRDefault="008741D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50,37</w:t>
            </w:r>
          </w:p>
        </w:tc>
      </w:tr>
      <w:tr w:rsidR="00CB2FF5" w:rsidRPr="00F02ABE" w14:paraId="5E569146" w14:textId="77777777" w:rsidTr="00242CBD">
        <w:tc>
          <w:tcPr>
            <w:tcW w:w="8217" w:type="dxa"/>
          </w:tcPr>
          <w:p w14:paraId="6984737C"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lang w:eastAsia="pt-BR"/>
              </w:rPr>
            </w:pPr>
            <w:r w:rsidRPr="00F02ABE">
              <w:rPr>
                <w:rFonts w:ascii="Times New Roman" w:hAnsi="Times New Roman"/>
                <w:b/>
                <w:sz w:val="24"/>
                <w:szCs w:val="24"/>
                <w:lang w:eastAsia="pt-BR"/>
              </w:rPr>
              <w:t>Total</w:t>
            </w:r>
          </w:p>
        </w:tc>
        <w:tc>
          <w:tcPr>
            <w:tcW w:w="1476" w:type="dxa"/>
          </w:tcPr>
          <w:p w14:paraId="194F4FD0" w14:textId="267326DE" w:rsidR="00CB2FF5" w:rsidRPr="00F02ABE" w:rsidRDefault="00122BF2" w:rsidP="00242CBD">
            <w:pPr>
              <w:spacing w:after="0" w:line="240" w:lineRule="auto"/>
              <w:jc w:val="right"/>
              <w:rPr>
                <w:rFonts w:ascii="Times New Roman" w:hAnsi="Times New Roman"/>
                <w:b/>
                <w:bCs/>
                <w:sz w:val="24"/>
                <w:szCs w:val="24"/>
                <w:lang w:eastAsia="pt-BR"/>
              </w:rPr>
            </w:pPr>
            <w:r w:rsidRPr="00960C47">
              <w:rPr>
                <w:rFonts w:ascii="Times New Roman" w:hAnsi="Times New Roman"/>
                <w:b/>
                <w:bCs/>
                <w:sz w:val="24"/>
                <w:szCs w:val="24"/>
                <w:lang w:eastAsia="pt-BR"/>
              </w:rPr>
              <w:t>7.</w:t>
            </w:r>
            <w:r w:rsidR="003C1CF7">
              <w:rPr>
                <w:rFonts w:ascii="Times New Roman" w:hAnsi="Times New Roman"/>
                <w:b/>
                <w:bCs/>
                <w:sz w:val="24"/>
                <w:szCs w:val="24"/>
                <w:lang w:eastAsia="pt-BR"/>
              </w:rPr>
              <w:t>930.568,69</w:t>
            </w:r>
          </w:p>
        </w:tc>
        <w:tc>
          <w:tcPr>
            <w:tcW w:w="1276" w:type="dxa"/>
          </w:tcPr>
          <w:p w14:paraId="12B5AA65"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100%</w:t>
            </w:r>
          </w:p>
        </w:tc>
      </w:tr>
    </w:tbl>
    <w:p w14:paraId="3A100731" w14:textId="77777777" w:rsidR="00CB2FF5" w:rsidRPr="00C531C0" w:rsidRDefault="00CB2FF5" w:rsidP="00CB2FF5">
      <w:pPr>
        <w:autoSpaceDE w:val="0"/>
        <w:autoSpaceDN w:val="0"/>
        <w:adjustRightInd w:val="0"/>
        <w:spacing w:after="0" w:line="240" w:lineRule="auto"/>
        <w:ind w:left="1701"/>
        <w:jc w:val="both"/>
        <w:rPr>
          <w:rFonts w:ascii="Times New Roman" w:hAnsi="Times New Roman"/>
          <w:sz w:val="20"/>
          <w:szCs w:val="20"/>
          <w:lang w:eastAsia="pt-BR"/>
        </w:rPr>
      </w:pPr>
      <w:r w:rsidRPr="00C531C0">
        <w:rPr>
          <w:rFonts w:ascii="Times New Roman" w:hAnsi="Times New Roman"/>
          <w:sz w:val="20"/>
          <w:szCs w:val="20"/>
          <w:lang w:eastAsia="pt-BR"/>
        </w:rPr>
        <w:t>Fonte: Tesouro Gerencial e SIAFI, 2024.</w:t>
      </w:r>
    </w:p>
    <w:p w14:paraId="13F0B7B3"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14C3F9CA" w14:textId="5361285A"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Pr>
          <w:rFonts w:ascii="Times New Roman" w:hAnsi="Times New Roman"/>
          <w:bCs/>
          <w:sz w:val="24"/>
          <w:szCs w:val="24"/>
          <w:lang w:eastAsia="pt-BR"/>
        </w:rPr>
        <w:t>A Reitoria</w:t>
      </w:r>
      <w:r w:rsidRPr="00F02ABE">
        <w:rPr>
          <w:rFonts w:ascii="Times New Roman" w:hAnsi="Times New Roman"/>
          <w:bCs/>
          <w:sz w:val="24"/>
          <w:szCs w:val="24"/>
          <w:lang w:eastAsia="pt-BR"/>
        </w:rPr>
        <w:t xml:space="preserve"> em 3</w:t>
      </w:r>
      <w:r w:rsidR="00E378B2">
        <w:rPr>
          <w:rFonts w:ascii="Times New Roman" w:hAnsi="Times New Roman"/>
          <w:bCs/>
          <w:sz w:val="24"/>
          <w:szCs w:val="24"/>
          <w:lang w:eastAsia="pt-BR"/>
        </w:rPr>
        <w:t>1</w:t>
      </w:r>
      <w:r w:rsidRPr="00F02ABE">
        <w:rPr>
          <w:rFonts w:ascii="Times New Roman" w:hAnsi="Times New Roman"/>
          <w:bCs/>
          <w:sz w:val="24"/>
          <w:szCs w:val="24"/>
          <w:lang w:eastAsia="pt-BR"/>
        </w:rPr>
        <w:t>/</w:t>
      </w:r>
      <w:r w:rsidR="00E378B2">
        <w:rPr>
          <w:rFonts w:ascii="Times New Roman" w:hAnsi="Times New Roman"/>
          <w:bCs/>
          <w:sz w:val="24"/>
          <w:szCs w:val="24"/>
          <w:lang w:eastAsia="pt-BR"/>
        </w:rPr>
        <w:t>12</w:t>
      </w:r>
      <w:r>
        <w:rPr>
          <w:rFonts w:ascii="Times New Roman" w:hAnsi="Times New Roman"/>
          <w:bCs/>
          <w:sz w:val="24"/>
          <w:szCs w:val="24"/>
          <w:lang w:eastAsia="pt-BR"/>
        </w:rPr>
        <w:t>/2024</w:t>
      </w:r>
      <w:r w:rsidRPr="00F02ABE">
        <w:rPr>
          <w:rFonts w:ascii="Times New Roman" w:hAnsi="Times New Roman"/>
          <w:bCs/>
          <w:sz w:val="24"/>
          <w:szCs w:val="24"/>
          <w:lang w:eastAsia="pt-BR"/>
        </w:rPr>
        <w:t xml:space="preserve">, possui obrigações contratuais com o fornecedor </w:t>
      </w:r>
      <w:r>
        <w:rPr>
          <w:rFonts w:ascii="Times New Roman" w:hAnsi="Times New Roman"/>
          <w:sz w:val="24"/>
          <w:szCs w:val="24"/>
          <w:lang w:eastAsia="pt-BR"/>
        </w:rPr>
        <w:t>BRS SUPRIMENTOS CORPORATIVOS</w:t>
      </w:r>
      <w:r w:rsidR="009D74B5">
        <w:rPr>
          <w:rFonts w:ascii="Times New Roman" w:hAnsi="Times New Roman"/>
          <w:sz w:val="24"/>
          <w:szCs w:val="24"/>
          <w:lang w:eastAsia="pt-BR"/>
        </w:rPr>
        <w:t xml:space="preserve"> S/A</w:t>
      </w:r>
      <w:r w:rsidRPr="00F02ABE">
        <w:rPr>
          <w:rFonts w:ascii="Times New Roman" w:hAnsi="Times New Roman"/>
          <w:sz w:val="24"/>
          <w:szCs w:val="24"/>
          <w:lang w:eastAsia="pt-BR"/>
        </w:rPr>
        <w:t xml:space="preserve">, no valor de </w:t>
      </w:r>
      <w:r w:rsidRPr="00F23D06">
        <w:rPr>
          <w:rFonts w:ascii="Times New Roman" w:hAnsi="Times New Roman"/>
          <w:b/>
          <w:bCs/>
          <w:sz w:val="24"/>
          <w:szCs w:val="24"/>
          <w:lang w:eastAsia="pt-BR"/>
        </w:rPr>
        <w:t xml:space="preserve">R$ </w:t>
      </w:r>
      <w:r w:rsidR="00E378B2" w:rsidRPr="00E378B2">
        <w:rPr>
          <w:rFonts w:ascii="Times New Roman" w:hAnsi="Times New Roman"/>
          <w:b/>
          <w:bCs/>
          <w:sz w:val="24"/>
          <w:szCs w:val="24"/>
          <w:lang w:eastAsia="pt-BR"/>
        </w:rPr>
        <w:t>2.911.357,14</w:t>
      </w:r>
      <w:r w:rsidRPr="00F02ABE">
        <w:rPr>
          <w:rFonts w:ascii="Times New Roman" w:hAnsi="Times New Roman"/>
          <w:sz w:val="24"/>
          <w:szCs w:val="24"/>
          <w:lang w:eastAsia="pt-BR"/>
        </w:rPr>
        <w:t xml:space="preserve">, que corresponde a </w:t>
      </w:r>
      <w:r>
        <w:rPr>
          <w:rFonts w:ascii="Times New Roman" w:hAnsi="Times New Roman"/>
          <w:sz w:val="24"/>
          <w:szCs w:val="24"/>
          <w:lang w:eastAsia="pt-BR"/>
        </w:rPr>
        <w:t>3</w:t>
      </w:r>
      <w:r w:rsidR="00E378B2">
        <w:rPr>
          <w:rFonts w:ascii="Times New Roman" w:hAnsi="Times New Roman"/>
          <w:sz w:val="24"/>
          <w:szCs w:val="24"/>
          <w:lang w:eastAsia="pt-BR"/>
        </w:rPr>
        <w:t>3,71</w:t>
      </w:r>
      <w:r w:rsidRPr="00F02ABE">
        <w:rPr>
          <w:rFonts w:ascii="Times New Roman" w:hAnsi="Times New Roman"/>
          <w:sz w:val="24"/>
          <w:szCs w:val="24"/>
          <w:lang w:eastAsia="pt-BR"/>
        </w:rPr>
        <w:t>% das obrigações contratuais citadas.</w:t>
      </w:r>
    </w:p>
    <w:p w14:paraId="5155EFD8" w14:textId="77777777" w:rsidR="00E378B2" w:rsidRDefault="00E378B2" w:rsidP="00CB2FF5">
      <w:pPr>
        <w:autoSpaceDE w:val="0"/>
        <w:autoSpaceDN w:val="0"/>
        <w:adjustRightInd w:val="0"/>
        <w:spacing w:after="0" w:line="240" w:lineRule="auto"/>
        <w:ind w:left="1701"/>
        <w:jc w:val="both"/>
        <w:rPr>
          <w:rFonts w:ascii="Times New Roman" w:hAnsi="Times New Roman"/>
          <w:sz w:val="24"/>
          <w:szCs w:val="24"/>
          <w:lang w:eastAsia="pt-BR"/>
        </w:rPr>
      </w:pPr>
    </w:p>
    <w:p w14:paraId="1EC05D6C" w14:textId="77777777" w:rsidR="00CB2FF5" w:rsidRDefault="00CB2FF5" w:rsidP="00CB2FF5">
      <w:pPr>
        <w:pStyle w:val="PargrafodaLista"/>
        <w:numPr>
          <w:ilvl w:val="1"/>
          <w:numId w:val="6"/>
        </w:numPr>
        <w:autoSpaceDE w:val="0"/>
        <w:autoSpaceDN w:val="0"/>
        <w:adjustRightInd w:val="0"/>
        <w:spacing w:after="0" w:line="240" w:lineRule="auto"/>
        <w:jc w:val="both"/>
        <w:rPr>
          <w:rFonts w:ascii="Times New Roman" w:hAnsi="Times New Roman"/>
          <w:b/>
          <w:sz w:val="24"/>
          <w:szCs w:val="24"/>
          <w:lang w:eastAsia="pt-BR"/>
        </w:rPr>
      </w:pPr>
      <w:r w:rsidRPr="00F02ABE">
        <w:rPr>
          <w:rFonts w:ascii="Times New Roman" w:hAnsi="Times New Roman"/>
          <w:b/>
          <w:sz w:val="24"/>
          <w:szCs w:val="24"/>
          <w:lang w:eastAsia="pt-BR"/>
        </w:rPr>
        <w:t>Precatórios</w:t>
      </w:r>
    </w:p>
    <w:p w14:paraId="54CCC63C" w14:textId="77777777" w:rsidR="00CB2FF5" w:rsidRPr="00F02ABE" w:rsidRDefault="00CB2FF5" w:rsidP="00CB2FF5">
      <w:pPr>
        <w:pStyle w:val="PargrafodaLista"/>
        <w:autoSpaceDE w:val="0"/>
        <w:autoSpaceDN w:val="0"/>
        <w:adjustRightInd w:val="0"/>
        <w:spacing w:after="0" w:line="240" w:lineRule="auto"/>
        <w:ind w:left="2061"/>
        <w:jc w:val="both"/>
        <w:rPr>
          <w:rFonts w:ascii="Times New Roman" w:hAnsi="Times New Roman"/>
          <w:b/>
          <w:sz w:val="24"/>
          <w:szCs w:val="24"/>
          <w:lang w:eastAsia="pt-BR"/>
        </w:rPr>
      </w:pPr>
    </w:p>
    <w:p w14:paraId="4EDDC902" w14:textId="4A33A856"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O IFPI </w:t>
      </w:r>
      <w:r>
        <w:rPr>
          <w:rFonts w:ascii="Times New Roman" w:hAnsi="Times New Roman"/>
          <w:sz w:val="24"/>
          <w:szCs w:val="24"/>
          <w:lang w:eastAsia="pt-BR"/>
        </w:rPr>
        <w:t xml:space="preserve">não </w:t>
      </w:r>
      <w:r w:rsidRPr="00F02ABE">
        <w:rPr>
          <w:rFonts w:ascii="Times New Roman" w:hAnsi="Times New Roman"/>
          <w:sz w:val="24"/>
          <w:szCs w:val="24"/>
          <w:lang w:eastAsia="pt-BR"/>
        </w:rPr>
        <w:t xml:space="preserve">possui </w:t>
      </w:r>
      <w:r w:rsidRPr="00F02ABE">
        <w:rPr>
          <w:rFonts w:ascii="Times New Roman" w:hAnsi="Times New Roman"/>
          <w:b/>
          <w:bCs/>
          <w:sz w:val="24"/>
          <w:szCs w:val="24"/>
          <w:lang w:eastAsia="pt-BR"/>
        </w:rPr>
        <w:t>Precatórios de curto prazo</w:t>
      </w:r>
      <w:r>
        <w:rPr>
          <w:rFonts w:ascii="Times New Roman" w:hAnsi="Times New Roman"/>
          <w:b/>
          <w:bCs/>
          <w:sz w:val="24"/>
          <w:szCs w:val="24"/>
          <w:lang w:eastAsia="pt-BR"/>
        </w:rPr>
        <w:t xml:space="preserve"> </w:t>
      </w:r>
      <w:r w:rsidRPr="00A90E13">
        <w:rPr>
          <w:rFonts w:ascii="Times New Roman" w:hAnsi="Times New Roman"/>
          <w:sz w:val="24"/>
          <w:szCs w:val="24"/>
          <w:lang w:eastAsia="pt-BR"/>
        </w:rPr>
        <w:t>e nem</w:t>
      </w:r>
      <w:r>
        <w:rPr>
          <w:rFonts w:ascii="Times New Roman" w:hAnsi="Times New Roman"/>
          <w:b/>
          <w:bCs/>
          <w:sz w:val="24"/>
          <w:szCs w:val="24"/>
          <w:lang w:eastAsia="pt-BR"/>
        </w:rPr>
        <w:t xml:space="preserve"> de longo prazo</w:t>
      </w:r>
      <w:r w:rsidRPr="00F02ABE">
        <w:rPr>
          <w:rFonts w:ascii="Times New Roman" w:hAnsi="Times New Roman"/>
          <w:sz w:val="24"/>
          <w:szCs w:val="24"/>
          <w:lang w:eastAsia="pt-BR"/>
        </w:rPr>
        <w:t xml:space="preserve"> </w:t>
      </w:r>
      <w:r>
        <w:rPr>
          <w:rFonts w:ascii="Times New Roman" w:hAnsi="Times New Roman"/>
          <w:sz w:val="24"/>
          <w:szCs w:val="24"/>
          <w:lang w:eastAsia="pt-BR"/>
        </w:rPr>
        <w:t xml:space="preserve">registrados no </w:t>
      </w:r>
      <w:r w:rsidR="00E378B2">
        <w:rPr>
          <w:rFonts w:ascii="Times New Roman" w:hAnsi="Times New Roman"/>
          <w:sz w:val="24"/>
          <w:szCs w:val="24"/>
          <w:lang w:eastAsia="pt-BR"/>
        </w:rPr>
        <w:t>último</w:t>
      </w:r>
      <w:r>
        <w:rPr>
          <w:rFonts w:ascii="Times New Roman" w:hAnsi="Times New Roman"/>
          <w:sz w:val="24"/>
          <w:szCs w:val="24"/>
          <w:lang w:eastAsia="pt-BR"/>
        </w:rPr>
        <w:t xml:space="preserve"> trimestre de 2024.</w:t>
      </w:r>
      <w:r w:rsidRPr="00F02ABE">
        <w:rPr>
          <w:rFonts w:ascii="Times New Roman" w:hAnsi="Times New Roman"/>
          <w:sz w:val="24"/>
          <w:szCs w:val="24"/>
          <w:lang w:eastAsia="pt-BR"/>
        </w:rPr>
        <w:t xml:space="preserve">  </w:t>
      </w:r>
    </w:p>
    <w:p w14:paraId="2F5F8DF7" w14:textId="77777777" w:rsidR="00AA46AA" w:rsidRPr="00F02ABE" w:rsidRDefault="00AA46AA" w:rsidP="00CB2FF5">
      <w:pPr>
        <w:autoSpaceDE w:val="0"/>
        <w:autoSpaceDN w:val="0"/>
        <w:adjustRightInd w:val="0"/>
        <w:spacing w:after="0" w:line="240" w:lineRule="auto"/>
        <w:ind w:left="1701"/>
        <w:jc w:val="both"/>
        <w:rPr>
          <w:rFonts w:ascii="Times New Roman" w:hAnsi="Times New Roman"/>
          <w:sz w:val="24"/>
          <w:szCs w:val="24"/>
          <w:lang w:eastAsia="pt-BR"/>
        </w:rPr>
      </w:pPr>
    </w:p>
    <w:p w14:paraId="2D752A12" w14:textId="657F9235" w:rsidR="00CB2FF5" w:rsidRPr="00AA46AA" w:rsidRDefault="00CB2FF5" w:rsidP="00AA46AA">
      <w:pPr>
        <w:pStyle w:val="PargrafodaLista"/>
        <w:numPr>
          <w:ilvl w:val="1"/>
          <w:numId w:val="6"/>
        </w:numPr>
        <w:autoSpaceDE w:val="0"/>
        <w:autoSpaceDN w:val="0"/>
        <w:adjustRightInd w:val="0"/>
        <w:spacing w:after="0" w:line="240" w:lineRule="auto"/>
        <w:jc w:val="both"/>
        <w:rPr>
          <w:rFonts w:ascii="Times New Roman" w:hAnsi="Times New Roman"/>
          <w:b/>
          <w:sz w:val="24"/>
          <w:szCs w:val="24"/>
          <w:lang w:eastAsia="pt-BR"/>
        </w:rPr>
      </w:pPr>
      <w:r w:rsidRPr="00AA46AA">
        <w:rPr>
          <w:rFonts w:ascii="Times New Roman" w:hAnsi="Times New Roman"/>
          <w:b/>
          <w:sz w:val="24"/>
          <w:szCs w:val="24"/>
          <w:lang w:eastAsia="pt-BR"/>
        </w:rPr>
        <w:t>Patrimônio Líquido</w:t>
      </w:r>
    </w:p>
    <w:p w14:paraId="3C92C440" w14:textId="77777777" w:rsidR="00AA46AA" w:rsidRPr="00AA46AA" w:rsidRDefault="00AA46AA" w:rsidP="00AA46AA">
      <w:pPr>
        <w:pStyle w:val="PargrafodaLista"/>
        <w:autoSpaceDE w:val="0"/>
        <w:autoSpaceDN w:val="0"/>
        <w:adjustRightInd w:val="0"/>
        <w:spacing w:after="0" w:line="240" w:lineRule="auto"/>
        <w:ind w:left="2061"/>
        <w:jc w:val="both"/>
        <w:rPr>
          <w:rFonts w:ascii="Times New Roman" w:hAnsi="Times New Roman"/>
          <w:b/>
          <w:sz w:val="24"/>
          <w:szCs w:val="24"/>
          <w:lang w:eastAsia="pt-BR"/>
        </w:rPr>
      </w:pPr>
    </w:p>
    <w:p w14:paraId="40AC88E9" w14:textId="458DA5D1"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rPr>
        <w:t>A tabela a seguir demonstra a composição do Patrimônio Líquido para o</w:t>
      </w:r>
      <w:r>
        <w:rPr>
          <w:rFonts w:ascii="Times New Roman" w:hAnsi="Times New Roman"/>
          <w:sz w:val="24"/>
          <w:szCs w:val="24"/>
        </w:rPr>
        <w:t xml:space="preserve"> </w:t>
      </w:r>
      <w:r w:rsidR="006537AB">
        <w:rPr>
          <w:rFonts w:ascii="Times New Roman" w:hAnsi="Times New Roman"/>
          <w:sz w:val="24"/>
          <w:szCs w:val="24"/>
        </w:rPr>
        <w:t>terceiro</w:t>
      </w:r>
      <w:r>
        <w:rPr>
          <w:rFonts w:ascii="Times New Roman" w:hAnsi="Times New Roman"/>
          <w:sz w:val="24"/>
          <w:szCs w:val="24"/>
        </w:rPr>
        <w:t xml:space="preserve"> tri</w:t>
      </w:r>
      <w:r w:rsidRPr="00F02ABE">
        <w:rPr>
          <w:rFonts w:ascii="Times New Roman" w:hAnsi="Times New Roman"/>
          <w:sz w:val="24"/>
          <w:szCs w:val="24"/>
        </w:rPr>
        <w:t>mestre de 202</w:t>
      </w:r>
      <w:r>
        <w:rPr>
          <w:rFonts w:ascii="Times New Roman" w:hAnsi="Times New Roman"/>
          <w:sz w:val="24"/>
          <w:szCs w:val="24"/>
        </w:rPr>
        <w:t>4</w:t>
      </w:r>
      <w:r w:rsidRPr="00F02ABE">
        <w:rPr>
          <w:rFonts w:ascii="Times New Roman" w:hAnsi="Times New Roman"/>
          <w:sz w:val="24"/>
          <w:szCs w:val="24"/>
        </w:rPr>
        <w:t xml:space="preserve"> em relação ao </w:t>
      </w:r>
      <w:r>
        <w:rPr>
          <w:rFonts w:ascii="Times New Roman" w:hAnsi="Times New Roman"/>
          <w:sz w:val="24"/>
          <w:szCs w:val="24"/>
        </w:rPr>
        <w:t xml:space="preserve">último </w:t>
      </w:r>
      <w:r w:rsidRPr="00F02ABE">
        <w:rPr>
          <w:rFonts w:ascii="Times New Roman" w:hAnsi="Times New Roman"/>
          <w:sz w:val="24"/>
          <w:szCs w:val="24"/>
        </w:rPr>
        <w:t>trimestre de 202</w:t>
      </w:r>
      <w:r>
        <w:rPr>
          <w:rFonts w:ascii="Times New Roman" w:hAnsi="Times New Roman"/>
          <w:sz w:val="24"/>
          <w:szCs w:val="24"/>
        </w:rPr>
        <w:t>3</w:t>
      </w:r>
      <w:r w:rsidRPr="00F02ABE">
        <w:rPr>
          <w:rFonts w:ascii="Times New Roman" w:hAnsi="Times New Roman"/>
          <w:sz w:val="24"/>
          <w:szCs w:val="24"/>
        </w:rPr>
        <w:t>.</w:t>
      </w:r>
      <w:r>
        <w:rPr>
          <w:rFonts w:ascii="Times New Roman" w:hAnsi="Times New Roman"/>
          <w:sz w:val="24"/>
          <w:szCs w:val="24"/>
        </w:rPr>
        <w:t xml:space="preserve"> O Resultado do Exercício foi </w:t>
      </w:r>
      <w:r w:rsidR="001F583F">
        <w:rPr>
          <w:rFonts w:ascii="Times New Roman" w:hAnsi="Times New Roman"/>
          <w:sz w:val="24"/>
          <w:szCs w:val="24"/>
        </w:rPr>
        <w:t>deficitário</w:t>
      </w:r>
      <w:r>
        <w:rPr>
          <w:rFonts w:ascii="Times New Roman" w:hAnsi="Times New Roman"/>
          <w:sz w:val="24"/>
          <w:szCs w:val="24"/>
        </w:rPr>
        <w:t xml:space="preserve"> e corresponde a </w:t>
      </w:r>
      <w:r w:rsidRPr="0054021D">
        <w:rPr>
          <w:rFonts w:ascii="Times New Roman" w:hAnsi="Times New Roman"/>
          <w:b/>
          <w:bCs/>
          <w:sz w:val="24"/>
          <w:szCs w:val="24"/>
        </w:rPr>
        <w:t xml:space="preserve">R$ </w:t>
      </w:r>
      <w:r w:rsidR="001F583F">
        <w:rPr>
          <w:rFonts w:ascii="Times New Roman" w:hAnsi="Times New Roman"/>
          <w:b/>
          <w:bCs/>
          <w:sz w:val="24"/>
          <w:szCs w:val="24"/>
        </w:rPr>
        <w:t>2</w:t>
      </w:r>
      <w:r w:rsidR="004148C9">
        <w:rPr>
          <w:rFonts w:ascii="Times New Roman" w:hAnsi="Times New Roman"/>
          <w:b/>
          <w:bCs/>
          <w:sz w:val="24"/>
          <w:szCs w:val="24"/>
        </w:rPr>
        <w:t>9.910.</w:t>
      </w:r>
      <w:r w:rsidR="00433E9E">
        <w:rPr>
          <w:rFonts w:ascii="Times New Roman" w:hAnsi="Times New Roman"/>
          <w:b/>
          <w:bCs/>
          <w:sz w:val="24"/>
          <w:szCs w:val="24"/>
        </w:rPr>
        <w:t>855,99</w:t>
      </w:r>
      <w:r>
        <w:rPr>
          <w:rFonts w:ascii="Times New Roman" w:hAnsi="Times New Roman"/>
          <w:sz w:val="24"/>
          <w:szCs w:val="24"/>
          <w:lang w:eastAsia="pt-BR"/>
        </w:rPr>
        <w:t>.</w:t>
      </w:r>
    </w:p>
    <w:p w14:paraId="407C3D7E" w14:textId="794FCF08" w:rsidR="00511AD4" w:rsidRDefault="00511AD4" w:rsidP="00CB2FF5">
      <w:pPr>
        <w:autoSpaceDE w:val="0"/>
        <w:autoSpaceDN w:val="0"/>
        <w:adjustRightInd w:val="0"/>
        <w:spacing w:after="0" w:line="240" w:lineRule="auto"/>
        <w:ind w:left="1701"/>
        <w:jc w:val="both"/>
        <w:rPr>
          <w:rFonts w:ascii="Times New Roman" w:hAnsi="Times New Roman"/>
          <w:sz w:val="24"/>
          <w:szCs w:val="24"/>
          <w:lang w:eastAsia="pt-BR"/>
        </w:rPr>
      </w:pPr>
    </w:p>
    <w:p w14:paraId="2F937AB3" w14:textId="77777777" w:rsidR="00CB2FF5" w:rsidRDefault="00CB2FF5" w:rsidP="00CB2FF5">
      <w:pPr>
        <w:autoSpaceDE w:val="0"/>
        <w:autoSpaceDN w:val="0"/>
        <w:adjustRightInd w:val="0"/>
        <w:spacing w:after="0" w:line="240" w:lineRule="auto"/>
        <w:ind w:left="1701"/>
        <w:jc w:val="both"/>
        <w:rPr>
          <w:rFonts w:ascii="Times New Roman" w:hAnsi="Times New Roman"/>
          <w:b/>
          <w:sz w:val="24"/>
          <w:szCs w:val="24"/>
        </w:rPr>
      </w:pPr>
      <w:r w:rsidRPr="00F02ABE">
        <w:rPr>
          <w:rFonts w:ascii="Times New Roman" w:hAnsi="Times New Roman"/>
          <w:b/>
          <w:sz w:val="24"/>
          <w:szCs w:val="24"/>
        </w:rPr>
        <w:t>Tabela 18 - Composição do Patrimônio Líquido</w:t>
      </w:r>
    </w:p>
    <w:p w14:paraId="1ED112C1" w14:textId="77777777" w:rsidR="00CB2FF5" w:rsidRPr="00F02ABE" w:rsidRDefault="00CB2FF5" w:rsidP="00CB2FF5">
      <w:pPr>
        <w:autoSpaceDE w:val="0"/>
        <w:autoSpaceDN w:val="0"/>
        <w:adjustRightInd w:val="0"/>
        <w:spacing w:after="0" w:line="240" w:lineRule="auto"/>
        <w:ind w:left="1701"/>
        <w:jc w:val="right"/>
        <w:rPr>
          <w:rFonts w:ascii="Times New Roman" w:hAnsi="Times New Roman"/>
          <w:sz w:val="24"/>
          <w:szCs w:val="24"/>
        </w:rPr>
      </w:pPr>
      <w:r>
        <w:rPr>
          <w:rFonts w:ascii="Times New Roman" w:hAnsi="Times New Roman"/>
          <w:sz w:val="24"/>
          <w:szCs w:val="24"/>
        </w:rPr>
        <w:t>R$ 1,00</w:t>
      </w:r>
      <w:r w:rsidRPr="00F02ABE">
        <w:rPr>
          <w:rFonts w:ascii="Times New Roman" w:hAnsi="Times New Roman"/>
          <w:sz w:val="24"/>
          <w:szCs w:val="24"/>
        </w:rPr>
        <w:t xml:space="preserve">                                                                                                                                                                       </w:t>
      </w:r>
      <w:r>
        <w:rPr>
          <w:rFonts w:ascii="Times New Roman" w:hAnsi="Times New Roman"/>
          <w:sz w:val="24"/>
          <w:szCs w:val="24"/>
        </w:rPr>
        <w:t xml:space="preserve">                     </w:t>
      </w:r>
    </w:p>
    <w:tbl>
      <w:tblPr>
        <w:tblW w:w="12328"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984"/>
        <w:gridCol w:w="1985"/>
        <w:gridCol w:w="1275"/>
        <w:gridCol w:w="1447"/>
      </w:tblGrid>
      <w:tr w:rsidR="00CB2FF5" w:rsidRPr="00F02ABE" w14:paraId="46C193ED" w14:textId="77777777" w:rsidTr="00242CBD">
        <w:tc>
          <w:tcPr>
            <w:tcW w:w="5637" w:type="dxa"/>
          </w:tcPr>
          <w:p w14:paraId="55C92B16"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lang w:eastAsia="pt-BR"/>
              </w:rPr>
            </w:pPr>
            <w:r>
              <w:rPr>
                <w:rFonts w:ascii="Times New Roman" w:hAnsi="Times New Roman"/>
                <w:b/>
                <w:sz w:val="24"/>
                <w:szCs w:val="24"/>
                <w:lang w:eastAsia="pt-BR"/>
              </w:rPr>
              <w:t>PATRIMÔNIO LÍQUIDO</w:t>
            </w:r>
          </w:p>
        </w:tc>
        <w:tc>
          <w:tcPr>
            <w:tcW w:w="1984" w:type="dxa"/>
          </w:tcPr>
          <w:p w14:paraId="2186D4F1"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202</w:t>
            </w:r>
            <w:r>
              <w:rPr>
                <w:rFonts w:ascii="Times New Roman" w:hAnsi="Times New Roman"/>
                <w:b/>
                <w:sz w:val="24"/>
                <w:szCs w:val="24"/>
                <w:lang w:eastAsia="pt-BR"/>
              </w:rPr>
              <w:t>4</w:t>
            </w:r>
          </w:p>
        </w:tc>
        <w:tc>
          <w:tcPr>
            <w:tcW w:w="1985" w:type="dxa"/>
          </w:tcPr>
          <w:p w14:paraId="4CA3F53F" w14:textId="77777777" w:rsidR="00CB2FF5" w:rsidRPr="00F02ABE" w:rsidRDefault="00CB2FF5" w:rsidP="00242CBD">
            <w:pPr>
              <w:autoSpaceDE w:val="0"/>
              <w:autoSpaceDN w:val="0"/>
              <w:adjustRightInd w:val="0"/>
              <w:spacing w:after="0" w:line="240" w:lineRule="auto"/>
              <w:jc w:val="right"/>
              <w:rPr>
                <w:rFonts w:ascii="Times New Roman" w:hAnsi="Times New Roman"/>
                <w:b/>
                <w:sz w:val="24"/>
                <w:szCs w:val="24"/>
                <w:lang w:eastAsia="pt-BR"/>
              </w:rPr>
            </w:pPr>
            <w:r w:rsidRPr="00F02ABE">
              <w:rPr>
                <w:rFonts w:ascii="Times New Roman" w:hAnsi="Times New Roman"/>
                <w:b/>
                <w:sz w:val="24"/>
                <w:szCs w:val="24"/>
                <w:lang w:eastAsia="pt-BR"/>
              </w:rPr>
              <w:t>202</w:t>
            </w:r>
            <w:r>
              <w:rPr>
                <w:rFonts w:ascii="Times New Roman" w:hAnsi="Times New Roman"/>
                <w:b/>
                <w:sz w:val="24"/>
                <w:szCs w:val="24"/>
                <w:lang w:eastAsia="pt-BR"/>
              </w:rPr>
              <w:t>3</w:t>
            </w:r>
          </w:p>
        </w:tc>
        <w:tc>
          <w:tcPr>
            <w:tcW w:w="1275" w:type="dxa"/>
          </w:tcPr>
          <w:p w14:paraId="4904479B"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sidRPr="00F02ABE">
              <w:rPr>
                <w:rFonts w:ascii="Times New Roman" w:hAnsi="Times New Roman"/>
                <w:b/>
                <w:sz w:val="24"/>
                <w:szCs w:val="24"/>
                <w:lang w:eastAsia="pt-BR"/>
              </w:rPr>
              <w:t>AH (%)</w:t>
            </w:r>
          </w:p>
        </w:tc>
        <w:tc>
          <w:tcPr>
            <w:tcW w:w="1447" w:type="dxa"/>
          </w:tcPr>
          <w:p w14:paraId="443BD75B" w14:textId="77777777" w:rsidR="00CB2FF5" w:rsidRPr="00F02ABE" w:rsidRDefault="00CB2FF5" w:rsidP="00242CBD">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AV(%)</w:t>
            </w:r>
          </w:p>
        </w:tc>
      </w:tr>
      <w:tr w:rsidR="00CB2FF5" w:rsidRPr="00F02ABE" w14:paraId="1757F586" w14:textId="77777777" w:rsidTr="00242CBD">
        <w:tc>
          <w:tcPr>
            <w:tcW w:w="5637" w:type="dxa"/>
          </w:tcPr>
          <w:p w14:paraId="0B54CB16"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Patrimônio Social e Capital Social</w:t>
            </w:r>
          </w:p>
        </w:tc>
        <w:tc>
          <w:tcPr>
            <w:tcW w:w="1984" w:type="dxa"/>
          </w:tcPr>
          <w:p w14:paraId="4EFFB241"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985" w:type="dxa"/>
          </w:tcPr>
          <w:p w14:paraId="42664859"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275" w:type="dxa"/>
          </w:tcPr>
          <w:p w14:paraId="68F244EA"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c>
          <w:tcPr>
            <w:tcW w:w="1447" w:type="dxa"/>
          </w:tcPr>
          <w:p w14:paraId="314AA2E5" w14:textId="77777777" w:rsidR="00CB2FF5"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r>
      <w:tr w:rsidR="00CB2FF5" w:rsidRPr="00F02ABE" w14:paraId="6EE2A60D" w14:textId="77777777" w:rsidTr="00242CBD">
        <w:tc>
          <w:tcPr>
            <w:tcW w:w="5637" w:type="dxa"/>
          </w:tcPr>
          <w:p w14:paraId="2472D05A"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lastRenderedPageBreak/>
              <w:t>Adiantamento para Futuro Aumento de Capital (AFAC)</w:t>
            </w:r>
          </w:p>
        </w:tc>
        <w:tc>
          <w:tcPr>
            <w:tcW w:w="1984" w:type="dxa"/>
          </w:tcPr>
          <w:p w14:paraId="63AFC8C9"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985" w:type="dxa"/>
          </w:tcPr>
          <w:p w14:paraId="69B6BAC8"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275" w:type="dxa"/>
          </w:tcPr>
          <w:p w14:paraId="22287CD9"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c>
          <w:tcPr>
            <w:tcW w:w="1447" w:type="dxa"/>
          </w:tcPr>
          <w:p w14:paraId="064A63C8" w14:textId="77777777" w:rsidR="00CB2FF5"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r>
      <w:tr w:rsidR="00CB2FF5" w:rsidRPr="00F02ABE" w14:paraId="43F4B41C" w14:textId="77777777" w:rsidTr="00242CBD">
        <w:tc>
          <w:tcPr>
            <w:tcW w:w="5637" w:type="dxa"/>
          </w:tcPr>
          <w:p w14:paraId="08093BFC"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Reserva de Capital</w:t>
            </w:r>
          </w:p>
        </w:tc>
        <w:tc>
          <w:tcPr>
            <w:tcW w:w="1984" w:type="dxa"/>
          </w:tcPr>
          <w:p w14:paraId="654EDE61"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985" w:type="dxa"/>
          </w:tcPr>
          <w:p w14:paraId="1DB6130C"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275" w:type="dxa"/>
          </w:tcPr>
          <w:p w14:paraId="6D0564BC"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c>
          <w:tcPr>
            <w:tcW w:w="1447" w:type="dxa"/>
          </w:tcPr>
          <w:p w14:paraId="02F6750A" w14:textId="77777777" w:rsidR="00CB2FF5"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r>
      <w:tr w:rsidR="00CB2FF5" w:rsidRPr="00F02ABE" w14:paraId="767DA555" w14:textId="77777777" w:rsidTr="00242CBD">
        <w:tc>
          <w:tcPr>
            <w:tcW w:w="5637" w:type="dxa"/>
          </w:tcPr>
          <w:p w14:paraId="1DAE67D9"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Ajustes de Avaliação Patrimonial</w:t>
            </w:r>
          </w:p>
        </w:tc>
        <w:tc>
          <w:tcPr>
            <w:tcW w:w="1984" w:type="dxa"/>
          </w:tcPr>
          <w:p w14:paraId="46D2B9DC"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985" w:type="dxa"/>
          </w:tcPr>
          <w:p w14:paraId="1D311872"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275" w:type="dxa"/>
          </w:tcPr>
          <w:p w14:paraId="7F8399FD"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c>
          <w:tcPr>
            <w:tcW w:w="1447" w:type="dxa"/>
          </w:tcPr>
          <w:p w14:paraId="76B7712C" w14:textId="77777777" w:rsidR="00CB2FF5"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r>
      <w:tr w:rsidR="00CB2FF5" w:rsidRPr="00F02ABE" w14:paraId="2B6FC485" w14:textId="77777777" w:rsidTr="00242CBD">
        <w:tc>
          <w:tcPr>
            <w:tcW w:w="5637" w:type="dxa"/>
          </w:tcPr>
          <w:p w14:paraId="4D3CB3ED"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Reservas de Lucros</w:t>
            </w:r>
          </w:p>
        </w:tc>
        <w:tc>
          <w:tcPr>
            <w:tcW w:w="1984" w:type="dxa"/>
          </w:tcPr>
          <w:p w14:paraId="2CCF634A"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985" w:type="dxa"/>
          </w:tcPr>
          <w:p w14:paraId="2B20DFB5"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275" w:type="dxa"/>
          </w:tcPr>
          <w:p w14:paraId="2732E3B8" w14:textId="77777777" w:rsidR="00CB2FF5" w:rsidRPr="00F02ABE"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c>
          <w:tcPr>
            <w:tcW w:w="1447" w:type="dxa"/>
          </w:tcPr>
          <w:p w14:paraId="6656CFD3" w14:textId="77777777" w:rsidR="00CB2FF5" w:rsidRDefault="00CB2FF5"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r>
      <w:tr w:rsidR="00CB2FF5" w:rsidRPr="00F02ABE" w14:paraId="3DEBEB15" w14:textId="77777777" w:rsidTr="00242CBD">
        <w:tc>
          <w:tcPr>
            <w:tcW w:w="5637" w:type="dxa"/>
          </w:tcPr>
          <w:p w14:paraId="79D2E73F"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Demais Reservas</w:t>
            </w:r>
          </w:p>
        </w:tc>
        <w:tc>
          <w:tcPr>
            <w:tcW w:w="1984" w:type="dxa"/>
          </w:tcPr>
          <w:p w14:paraId="2AFE6049" w14:textId="369662CB" w:rsidR="00CB2FF5" w:rsidRPr="00F02ABE" w:rsidRDefault="00642F7F"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133.333.804,71</w:t>
            </w:r>
          </w:p>
        </w:tc>
        <w:tc>
          <w:tcPr>
            <w:tcW w:w="1985" w:type="dxa"/>
          </w:tcPr>
          <w:p w14:paraId="7BC0A8DB"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123.885.259,17</w:t>
            </w:r>
          </w:p>
        </w:tc>
        <w:tc>
          <w:tcPr>
            <w:tcW w:w="1275" w:type="dxa"/>
          </w:tcPr>
          <w:p w14:paraId="291ADFAF" w14:textId="65459343" w:rsidR="00CB2FF5" w:rsidRPr="00F02ABE" w:rsidRDefault="00642F7F"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7,63</w:t>
            </w:r>
          </w:p>
        </w:tc>
        <w:tc>
          <w:tcPr>
            <w:tcW w:w="1447" w:type="dxa"/>
          </w:tcPr>
          <w:p w14:paraId="0703F573" w14:textId="73EE1DCD" w:rsidR="00CB2FF5" w:rsidRDefault="00047FFC"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33,28</w:t>
            </w:r>
          </w:p>
        </w:tc>
      </w:tr>
      <w:tr w:rsidR="00CB2FF5" w:rsidRPr="00F02ABE" w14:paraId="4A85EDD3" w14:textId="77777777" w:rsidTr="00242CBD">
        <w:tc>
          <w:tcPr>
            <w:tcW w:w="5637" w:type="dxa"/>
          </w:tcPr>
          <w:p w14:paraId="1EA66836" w14:textId="77777777" w:rsidR="00CB2FF5" w:rsidRPr="00F02ABE" w:rsidRDefault="00CB2FF5" w:rsidP="00242CBD">
            <w:pPr>
              <w:autoSpaceDE w:val="0"/>
              <w:autoSpaceDN w:val="0"/>
              <w:adjustRightInd w:val="0"/>
              <w:spacing w:after="0" w:line="240" w:lineRule="auto"/>
              <w:jc w:val="both"/>
              <w:rPr>
                <w:rFonts w:ascii="Times New Roman" w:hAnsi="Times New Roman"/>
                <w:b/>
                <w:bCs/>
                <w:sz w:val="24"/>
                <w:szCs w:val="24"/>
                <w:lang w:eastAsia="pt-BR"/>
              </w:rPr>
            </w:pPr>
            <w:r w:rsidRPr="00F02ABE">
              <w:rPr>
                <w:rFonts w:ascii="Times New Roman" w:hAnsi="Times New Roman"/>
                <w:b/>
                <w:bCs/>
                <w:sz w:val="24"/>
                <w:szCs w:val="24"/>
                <w:lang w:eastAsia="pt-BR"/>
              </w:rPr>
              <w:t>Resultados Acumulados</w:t>
            </w:r>
          </w:p>
        </w:tc>
        <w:tc>
          <w:tcPr>
            <w:tcW w:w="1984" w:type="dxa"/>
          </w:tcPr>
          <w:p w14:paraId="70F8A273" w14:textId="3F47DD26" w:rsidR="00CB2FF5" w:rsidRPr="00F02ABE" w:rsidRDefault="00047FFC" w:rsidP="00242CBD">
            <w:pPr>
              <w:autoSpaceDE w:val="0"/>
              <w:autoSpaceDN w:val="0"/>
              <w:adjustRightInd w:val="0"/>
              <w:spacing w:after="0" w:line="240" w:lineRule="auto"/>
              <w:jc w:val="right"/>
              <w:rPr>
                <w:rFonts w:ascii="Times New Roman" w:hAnsi="Times New Roman"/>
                <w:b/>
                <w:bCs/>
                <w:sz w:val="24"/>
                <w:szCs w:val="24"/>
                <w:lang w:eastAsia="pt-BR"/>
              </w:rPr>
            </w:pPr>
            <w:r>
              <w:rPr>
                <w:rFonts w:ascii="Times New Roman" w:hAnsi="Times New Roman"/>
                <w:b/>
                <w:bCs/>
                <w:sz w:val="24"/>
                <w:szCs w:val="24"/>
                <w:lang w:eastAsia="pt-BR"/>
              </w:rPr>
              <w:t>103.514.982,55</w:t>
            </w:r>
          </w:p>
        </w:tc>
        <w:tc>
          <w:tcPr>
            <w:tcW w:w="1985" w:type="dxa"/>
          </w:tcPr>
          <w:p w14:paraId="0D7D16E2" w14:textId="77777777" w:rsidR="00CB2FF5" w:rsidRPr="00F02ABE" w:rsidRDefault="00CB2FF5" w:rsidP="00242CBD">
            <w:pPr>
              <w:autoSpaceDE w:val="0"/>
              <w:autoSpaceDN w:val="0"/>
              <w:adjustRightInd w:val="0"/>
              <w:spacing w:after="0" w:line="240" w:lineRule="auto"/>
              <w:jc w:val="right"/>
              <w:rPr>
                <w:rFonts w:ascii="Times New Roman" w:hAnsi="Times New Roman"/>
                <w:b/>
                <w:bCs/>
                <w:sz w:val="24"/>
                <w:szCs w:val="24"/>
                <w:lang w:eastAsia="pt-BR"/>
              </w:rPr>
            </w:pPr>
            <w:r>
              <w:rPr>
                <w:rFonts w:ascii="Times New Roman" w:hAnsi="Times New Roman"/>
                <w:b/>
                <w:bCs/>
                <w:sz w:val="24"/>
                <w:szCs w:val="24"/>
                <w:lang w:eastAsia="pt-BR"/>
              </w:rPr>
              <w:t>125.084.264,62</w:t>
            </w:r>
          </w:p>
        </w:tc>
        <w:tc>
          <w:tcPr>
            <w:tcW w:w="1275" w:type="dxa"/>
          </w:tcPr>
          <w:p w14:paraId="12E38E62" w14:textId="2D2905A7" w:rsidR="00CB2FF5" w:rsidRPr="00F02ABE" w:rsidRDefault="00642F7F" w:rsidP="00242CBD">
            <w:pPr>
              <w:tabs>
                <w:tab w:val="left" w:pos="300"/>
                <w:tab w:val="center" w:pos="529"/>
              </w:tabs>
              <w:autoSpaceDE w:val="0"/>
              <w:autoSpaceDN w:val="0"/>
              <w:adjustRightInd w:val="0"/>
              <w:spacing w:after="0" w:line="240" w:lineRule="auto"/>
              <w:jc w:val="center"/>
              <w:rPr>
                <w:rFonts w:ascii="Times New Roman" w:hAnsi="Times New Roman"/>
                <w:b/>
                <w:bCs/>
                <w:sz w:val="24"/>
                <w:szCs w:val="24"/>
                <w:lang w:eastAsia="pt-BR"/>
              </w:rPr>
            </w:pPr>
            <w:r>
              <w:rPr>
                <w:rFonts w:ascii="Times New Roman" w:hAnsi="Times New Roman"/>
                <w:b/>
                <w:bCs/>
                <w:sz w:val="24"/>
                <w:szCs w:val="24"/>
                <w:lang w:eastAsia="pt-BR"/>
              </w:rPr>
              <w:t>-</w:t>
            </w:r>
            <w:r w:rsidR="00047FFC">
              <w:rPr>
                <w:rFonts w:ascii="Times New Roman" w:hAnsi="Times New Roman"/>
                <w:b/>
                <w:bCs/>
                <w:sz w:val="24"/>
                <w:szCs w:val="24"/>
                <w:lang w:eastAsia="pt-BR"/>
              </w:rPr>
              <w:t>17,24</w:t>
            </w:r>
          </w:p>
        </w:tc>
        <w:tc>
          <w:tcPr>
            <w:tcW w:w="1447" w:type="dxa"/>
          </w:tcPr>
          <w:p w14:paraId="3ED9F482" w14:textId="2B1FEC73" w:rsidR="00CB2FF5" w:rsidRDefault="00642F7F" w:rsidP="00242CBD">
            <w:pPr>
              <w:tabs>
                <w:tab w:val="left" w:pos="300"/>
                <w:tab w:val="center" w:pos="529"/>
              </w:tabs>
              <w:autoSpaceDE w:val="0"/>
              <w:autoSpaceDN w:val="0"/>
              <w:adjustRightInd w:val="0"/>
              <w:spacing w:after="0" w:line="240" w:lineRule="auto"/>
              <w:jc w:val="center"/>
              <w:rPr>
                <w:rFonts w:ascii="Times New Roman" w:hAnsi="Times New Roman"/>
                <w:b/>
                <w:bCs/>
                <w:sz w:val="24"/>
                <w:szCs w:val="24"/>
                <w:lang w:eastAsia="pt-BR"/>
              </w:rPr>
            </w:pPr>
            <w:r>
              <w:rPr>
                <w:rFonts w:ascii="Times New Roman" w:hAnsi="Times New Roman"/>
                <w:b/>
                <w:bCs/>
                <w:sz w:val="24"/>
                <w:szCs w:val="24"/>
                <w:lang w:eastAsia="pt-BR"/>
              </w:rPr>
              <w:t>25,</w:t>
            </w:r>
            <w:r w:rsidR="00047FFC">
              <w:rPr>
                <w:rFonts w:ascii="Times New Roman" w:hAnsi="Times New Roman"/>
                <w:b/>
                <w:bCs/>
                <w:sz w:val="24"/>
                <w:szCs w:val="24"/>
                <w:lang w:eastAsia="pt-BR"/>
              </w:rPr>
              <w:t>83</w:t>
            </w:r>
          </w:p>
        </w:tc>
      </w:tr>
      <w:tr w:rsidR="00CB2FF5" w:rsidRPr="00F02ABE" w14:paraId="20F293BD" w14:textId="77777777" w:rsidTr="00242CBD">
        <w:tc>
          <w:tcPr>
            <w:tcW w:w="5637" w:type="dxa"/>
          </w:tcPr>
          <w:p w14:paraId="0F01A640" w14:textId="77777777" w:rsidR="00CB2FF5" w:rsidRPr="00266CC3"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266CC3">
              <w:rPr>
                <w:rFonts w:ascii="Times New Roman" w:hAnsi="Times New Roman"/>
                <w:sz w:val="24"/>
                <w:szCs w:val="24"/>
                <w:lang w:eastAsia="pt-BR"/>
              </w:rPr>
              <w:t>Resultado do Exercício</w:t>
            </w:r>
          </w:p>
        </w:tc>
        <w:tc>
          <w:tcPr>
            <w:tcW w:w="1984" w:type="dxa"/>
          </w:tcPr>
          <w:p w14:paraId="4D539C9F" w14:textId="7D6E3F56" w:rsidR="00CB2FF5" w:rsidRPr="00E15C92" w:rsidRDefault="0052213A"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-2</w:t>
            </w:r>
            <w:r w:rsidR="00047FFC">
              <w:rPr>
                <w:rFonts w:ascii="Times New Roman" w:hAnsi="Times New Roman"/>
                <w:sz w:val="24"/>
                <w:szCs w:val="24"/>
                <w:lang w:eastAsia="pt-BR"/>
              </w:rPr>
              <w:t>6.562.519,45</w:t>
            </w:r>
          </w:p>
        </w:tc>
        <w:tc>
          <w:tcPr>
            <w:tcW w:w="1985" w:type="dxa"/>
          </w:tcPr>
          <w:p w14:paraId="1BAC6285" w14:textId="2D9D05E7" w:rsidR="00CB2FF5" w:rsidRPr="00E15C92"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-24.584.387,34</w:t>
            </w:r>
          </w:p>
        </w:tc>
        <w:tc>
          <w:tcPr>
            <w:tcW w:w="1275" w:type="dxa"/>
          </w:tcPr>
          <w:p w14:paraId="3F4C4B3A" w14:textId="5865FF9A" w:rsidR="00CB2FF5" w:rsidRPr="007D548F" w:rsidRDefault="00583077"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8,04</w:t>
            </w:r>
          </w:p>
        </w:tc>
        <w:tc>
          <w:tcPr>
            <w:tcW w:w="1447" w:type="dxa"/>
          </w:tcPr>
          <w:p w14:paraId="6CEED1C6" w14:textId="14407E37" w:rsidR="00CB2FF5" w:rsidRPr="007D548F" w:rsidRDefault="00583077"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6,63</w:t>
            </w:r>
          </w:p>
        </w:tc>
      </w:tr>
      <w:tr w:rsidR="00CB2FF5" w:rsidRPr="00F02ABE" w14:paraId="5129D45A" w14:textId="77777777" w:rsidTr="00242CBD">
        <w:tc>
          <w:tcPr>
            <w:tcW w:w="5637" w:type="dxa"/>
          </w:tcPr>
          <w:p w14:paraId="151A886A" w14:textId="77777777" w:rsidR="00CB2FF5" w:rsidRPr="00266CC3"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266CC3">
              <w:rPr>
                <w:rFonts w:ascii="Times New Roman" w:hAnsi="Times New Roman"/>
                <w:sz w:val="24"/>
                <w:szCs w:val="24"/>
                <w:lang w:eastAsia="pt-BR"/>
              </w:rPr>
              <w:t>Resultados de Exercícios Anteriores</w:t>
            </w:r>
          </w:p>
        </w:tc>
        <w:tc>
          <w:tcPr>
            <w:tcW w:w="1984" w:type="dxa"/>
          </w:tcPr>
          <w:p w14:paraId="35EFFA50" w14:textId="3909E8EB" w:rsidR="00CB2FF5" w:rsidRPr="00E15C92" w:rsidRDefault="0052213A"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125.084.264,62</w:t>
            </w:r>
          </w:p>
        </w:tc>
        <w:tc>
          <w:tcPr>
            <w:tcW w:w="1985" w:type="dxa"/>
          </w:tcPr>
          <w:p w14:paraId="5262A48E" w14:textId="77777777" w:rsidR="00CB2FF5" w:rsidRPr="00E15C92"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149.736.124,79</w:t>
            </w:r>
          </w:p>
        </w:tc>
        <w:tc>
          <w:tcPr>
            <w:tcW w:w="1275" w:type="dxa"/>
          </w:tcPr>
          <w:p w14:paraId="2D4FBF18" w14:textId="12F7DEDF" w:rsidR="00CB2FF5" w:rsidRPr="00E15C92" w:rsidRDefault="00583077"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-16,46</w:t>
            </w:r>
          </w:p>
        </w:tc>
        <w:tc>
          <w:tcPr>
            <w:tcW w:w="1447" w:type="dxa"/>
          </w:tcPr>
          <w:p w14:paraId="6762B796" w14:textId="6FC76BCC" w:rsidR="00CB2FF5" w:rsidRPr="00CC6C61" w:rsidRDefault="00583077"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31,22</w:t>
            </w:r>
          </w:p>
        </w:tc>
      </w:tr>
      <w:tr w:rsidR="00CB2FF5" w:rsidRPr="00F02ABE" w14:paraId="3AF4A1F8" w14:textId="77777777" w:rsidTr="00242CBD">
        <w:tc>
          <w:tcPr>
            <w:tcW w:w="5637" w:type="dxa"/>
          </w:tcPr>
          <w:p w14:paraId="4CC458E3" w14:textId="77777777" w:rsidR="00CB2FF5" w:rsidRPr="00266CC3"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266CC3">
              <w:rPr>
                <w:rFonts w:ascii="Times New Roman" w:hAnsi="Times New Roman"/>
                <w:sz w:val="24"/>
                <w:szCs w:val="24"/>
                <w:lang w:eastAsia="pt-BR"/>
              </w:rPr>
              <w:t>Ajustes de Exercícios Anteriores</w:t>
            </w:r>
          </w:p>
        </w:tc>
        <w:tc>
          <w:tcPr>
            <w:tcW w:w="1984" w:type="dxa"/>
          </w:tcPr>
          <w:p w14:paraId="2392CE4A" w14:textId="6723D780" w:rsidR="00CB2FF5" w:rsidRPr="00E15C92" w:rsidRDefault="00ED051D"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4.</w:t>
            </w:r>
            <w:r w:rsidR="00047FFC">
              <w:rPr>
                <w:rFonts w:ascii="Times New Roman" w:hAnsi="Times New Roman"/>
                <w:sz w:val="24"/>
                <w:szCs w:val="24"/>
                <w:lang w:eastAsia="pt-BR"/>
              </w:rPr>
              <w:t>993.237,38</w:t>
            </w:r>
          </w:p>
        </w:tc>
        <w:tc>
          <w:tcPr>
            <w:tcW w:w="1985" w:type="dxa"/>
          </w:tcPr>
          <w:p w14:paraId="5200ADD8" w14:textId="77777777" w:rsidR="00CB2FF5" w:rsidRPr="00E15C92"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-67.472,83</w:t>
            </w:r>
          </w:p>
        </w:tc>
        <w:tc>
          <w:tcPr>
            <w:tcW w:w="1275" w:type="dxa"/>
          </w:tcPr>
          <w:p w14:paraId="7F1A23D0" w14:textId="5DFFE4FF" w:rsidR="00CB2FF5" w:rsidRPr="00F02ABE" w:rsidRDefault="00583077" w:rsidP="00242CBD">
            <w:pPr>
              <w:autoSpaceDE w:val="0"/>
              <w:autoSpaceDN w:val="0"/>
              <w:adjustRightInd w:val="0"/>
              <w:spacing w:after="0" w:line="240" w:lineRule="auto"/>
              <w:jc w:val="center"/>
              <w:rPr>
                <w:rFonts w:ascii="Times New Roman" w:hAnsi="Times New Roman"/>
                <w:b/>
                <w:bCs/>
                <w:sz w:val="24"/>
                <w:szCs w:val="24"/>
                <w:lang w:eastAsia="pt-BR"/>
              </w:rPr>
            </w:pPr>
            <w:r>
              <w:rPr>
                <w:rFonts w:ascii="Times New Roman" w:hAnsi="Times New Roman"/>
                <w:b/>
                <w:bCs/>
                <w:sz w:val="24"/>
                <w:szCs w:val="24"/>
                <w:lang w:eastAsia="pt-BR"/>
              </w:rPr>
              <w:t xml:space="preserve">- </w:t>
            </w:r>
          </w:p>
        </w:tc>
        <w:tc>
          <w:tcPr>
            <w:tcW w:w="1447" w:type="dxa"/>
          </w:tcPr>
          <w:p w14:paraId="28DCD56E" w14:textId="5D1682D9" w:rsidR="00CB2FF5" w:rsidRPr="001F583F" w:rsidRDefault="00583077"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1,25</w:t>
            </w:r>
          </w:p>
        </w:tc>
      </w:tr>
      <w:tr w:rsidR="00CB2FF5" w:rsidRPr="00F02ABE" w14:paraId="4AC49B42" w14:textId="77777777" w:rsidTr="00242CBD">
        <w:tc>
          <w:tcPr>
            <w:tcW w:w="5637" w:type="dxa"/>
          </w:tcPr>
          <w:p w14:paraId="55F68C19" w14:textId="77777777" w:rsidR="00CB2FF5" w:rsidRPr="00F02ABE" w:rsidRDefault="00CB2FF5" w:rsidP="00242CBD">
            <w:pPr>
              <w:autoSpaceDE w:val="0"/>
              <w:autoSpaceDN w:val="0"/>
              <w:adjustRightInd w:val="0"/>
              <w:spacing w:after="0" w:line="240" w:lineRule="auto"/>
              <w:jc w:val="both"/>
              <w:rPr>
                <w:rFonts w:ascii="Times New Roman" w:hAnsi="Times New Roman"/>
                <w:sz w:val="24"/>
                <w:szCs w:val="24"/>
                <w:lang w:eastAsia="pt-BR"/>
              </w:rPr>
            </w:pPr>
            <w:r w:rsidRPr="00F02ABE">
              <w:rPr>
                <w:rFonts w:ascii="Times New Roman" w:hAnsi="Times New Roman"/>
                <w:sz w:val="24"/>
                <w:szCs w:val="24"/>
                <w:lang w:eastAsia="pt-BR"/>
              </w:rPr>
              <w:t>(-) Ações / Cotas em Tesouraria</w:t>
            </w:r>
          </w:p>
        </w:tc>
        <w:tc>
          <w:tcPr>
            <w:tcW w:w="1984" w:type="dxa"/>
          </w:tcPr>
          <w:p w14:paraId="6E696F39"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985" w:type="dxa"/>
          </w:tcPr>
          <w:p w14:paraId="5DDCDD3C" w14:textId="77777777" w:rsidR="00CB2FF5" w:rsidRPr="00F02ABE" w:rsidRDefault="00CB2FF5" w:rsidP="00242CBD">
            <w:pPr>
              <w:autoSpaceDE w:val="0"/>
              <w:autoSpaceDN w:val="0"/>
              <w:adjustRightInd w:val="0"/>
              <w:spacing w:after="0" w:line="240" w:lineRule="auto"/>
              <w:jc w:val="right"/>
              <w:rPr>
                <w:rFonts w:ascii="Times New Roman" w:hAnsi="Times New Roman"/>
                <w:sz w:val="24"/>
                <w:szCs w:val="24"/>
                <w:lang w:eastAsia="pt-BR"/>
              </w:rPr>
            </w:pPr>
            <w:r>
              <w:rPr>
                <w:rFonts w:ascii="Times New Roman" w:hAnsi="Times New Roman"/>
                <w:sz w:val="24"/>
                <w:szCs w:val="24"/>
                <w:lang w:eastAsia="pt-BR"/>
              </w:rPr>
              <w:t>-</w:t>
            </w:r>
          </w:p>
        </w:tc>
        <w:tc>
          <w:tcPr>
            <w:tcW w:w="1275" w:type="dxa"/>
          </w:tcPr>
          <w:p w14:paraId="7D2026A0" w14:textId="3C71BE4F" w:rsidR="00CB2FF5" w:rsidRPr="00F02ABE" w:rsidRDefault="001F583F"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c>
          <w:tcPr>
            <w:tcW w:w="1447" w:type="dxa"/>
          </w:tcPr>
          <w:p w14:paraId="5576D48A" w14:textId="729EBAF5" w:rsidR="00CB2FF5" w:rsidRDefault="001F583F" w:rsidP="00242CBD">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w:t>
            </w:r>
          </w:p>
        </w:tc>
      </w:tr>
      <w:tr w:rsidR="00CB2FF5" w:rsidRPr="00F02ABE" w14:paraId="66F17346" w14:textId="77777777" w:rsidTr="00242CBD">
        <w:tc>
          <w:tcPr>
            <w:tcW w:w="5637" w:type="dxa"/>
          </w:tcPr>
          <w:p w14:paraId="738506BE" w14:textId="77777777" w:rsidR="00CB2FF5" w:rsidRPr="00F02ABE" w:rsidRDefault="00CB2FF5" w:rsidP="00242CBD">
            <w:pPr>
              <w:autoSpaceDE w:val="0"/>
              <w:autoSpaceDN w:val="0"/>
              <w:adjustRightInd w:val="0"/>
              <w:spacing w:after="0" w:line="240" w:lineRule="auto"/>
              <w:jc w:val="both"/>
              <w:rPr>
                <w:rFonts w:ascii="Times New Roman" w:hAnsi="Times New Roman"/>
                <w:b/>
                <w:sz w:val="24"/>
                <w:szCs w:val="24"/>
                <w:lang w:eastAsia="pt-BR"/>
              </w:rPr>
            </w:pPr>
            <w:r w:rsidRPr="00F02ABE">
              <w:rPr>
                <w:rFonts w:ascii="Times New Roman" w:hAnsi="Times New Roman"/>
                <w:b/>
                <w:sz w:val="24"/>
                <w:szCs w:val="24"/>
                <w:lang w:eastAsia="pt-BR"/>
              </w:rPr>
              <w:t>Total do Patrimônio Líquido</w:t>
            </w:r>
          </w:p>
        </w:tc>
        <w:tc>
          <w:tcPr>
            <w:tcW w:w="1984" w:type="dxa"/>
          </w:tcPr>
          <w:p w14:paraId="5160AA13" w14:textId="47D2E7A5" w:rsidR="00CB2FF5" w:rsidRPr="00F02ABE" w:rsidRDefault="00BB4A77" w:rsidP="00242CBD">
            <w:pPr>
              <w:autoSpaceDE w:val="0"/>
              <w:autoSpaceDN w:val="0"/>
              <w:adjustRightInd w:val="0"/>
              <w:spacing w:after="0" w:line="240" w:lineRule="auto"/>
              <w:jc w:val="right"/>
              <w:rPr>
                <w:rFonts w:ascii="Times New Roman" w:hAnsi="Times New Roman"/>
                <w:b/>
                <w:sz w:val="24"/>
                <w:szCs w:val="24"/>
                <w:lang w:eastAsia="pt-BR"/>
              </w:rPr>
            </w:pPr>
            <w:r>
              <w:rPr>
                <w:rFonts w:ascii="Times New Roman" w:hAnsi="Times New Roman"/>
                <w:b/>
                <w:sz w:val="24"/>
                <w:szCs w:val="24"/>
                <w:lang w:eastAsia="pt-BR"/>
              </w:rPr>
              <w:t>232.624.388,76</w:t>
            </w:r>
          </w:p>
        </w:tc>
        <w:tc>
          <w:tcPr>
            <w:tcW w:w="1985" w:type="dxa"/>
          </w:tcPr>
          <w:p w14:paraId="046968E8" w14:textId="77777777" w:rsidR="00CB2FF5" w:rsidRPr="00F02ABE" w:rsidRDefault="00CB2FF5" w:rsidP="00242CBD">
            <w:pPr>
              <w:autoSpaceDE w:val="0"/>
              <w:autoSpaceDN w:val="0"/>
              <w:adjustRightInd w:val="0"/>
              <w:spacing w:after="0" w:line="240" w:lineRule="auto"/>
              <w:jc w:val="right"/>
              <w:rPr>
                <w:rFonts w:ascii="Times New Roman" w:hAnsi="Times New Roman"/>
                <w:b/>
                <w:bCs/>
                <w:sz w:val="24"/>
                <w:szCs w:val="24"/>
                <w:lang w:eastAsia="pt-BR"/>
              </w:rPr>
            </w:pPr>
            <w:r>
              <w:rPr>
                <w:rFonts w:ascii="Times New Roman" w:hAnsi="Times New Roman"/>
                <w:b/>
                <w:bCs/>
                <w:sz w:val="24"/>
                <w:szCs w:val="24"/>
                <w:lang w:eastAsia="pt-BR"/>
              </w:rPr>
              <w:t>248.969.523,79</w:t>
            </w:r>
          </w:p>
        </w:tc>
        <w:tc>
          <w:tcPr>
            <w:tcW w:w="1275" w:type="dxa"/>
          </w:tcPr>
          <w:p w14:paraId="5AEA4321" w14:textId="660833B4" w:rsidR="00CB2FF5" w:rsidRPr="00F02ABE" w:rsidRDefault="00642F7F" w:rsidP="00242CBD">
            <w:pPr>
              <w:autoSpaceDE w:val="0"/>
              <w:autoSpaceDN w:val="0"/>
              <w:adjustRightInd w:val="0"/>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t>-</w:t>
            </w:r>
            <w:r w:rsidR="004834CB">
              <w:rPr>
                <w:rFonts w:ascii="Times New Roman" w:hAnsi="Times New Roman"/>
                <w:b/>
                <w:sz w:val="24"/>
                <w:szCs w:val="24"/>
                <w:lang w:eastAsia="pt-BR"/>
              </w:rPr>
              <w:t>6,57</w:t>
            </w:r>
          </w:p>
        </w:tc>
        <w:tc>
          <w:tcPr>
            <w:tcW w:w="1447" w:type="dxa"/>
          </w:tcPr>
          <w:p w14:paraId="681E2154" w14:textId="51E901B5" w:rsidR="00CB2FF5" w:rsidRDefault="00583077" w:rsidP="00583077">
            <w:pPr>
              <w:tabs>
                <w:tab w:val="left" w:pos="315"/>
                <w:tab w:val="center" w:pos="615"/>
              </w:tabs>
              <w:autoSpaceDE w:val="0"/>
              <w:autoSpaceDN w:val="0"/>
              <w:adjustRightInd w:val="0"/>
              <w:spacing w:after="0" w:line="240" w:lineRule="auto"/>
              <w:rPr>
                <w:rFonts w:ascii="Times New Roman" w:hAnsi="Times New Roman"/>
                <w:b/>
                <w:sz w:val="24"/>
                <w:szCs w:val="24"/>
                <w:lang w:eastAsia="pt-BR"/>
              </w:rPr>
            </w:pPr>
            <w:r>
              <w:rPr>
                <w:rFonts w:ascii="Times New Roman" w:hAnsi="Times New Roman"/>
                <w:b/>
                <w:sz w:val="24"/>
                <w:szCs w:val="24"/>
                <w:lang w:eastAsia="pt-BR"/>
              </w:rPr>
              <w:tab/>
              <w:t>58,05</w:t>
            </w:r>
          </w:p>
        </w:tc>
      </w:tr>
    </w:tbl>
    <w:p w14:paraId="57E02383" w14:textId="77777777" w:rsidR="00CB2FF5" w:rsidRPr="00BE6ED0" w:rsidRDefault="00CB2FF5" w:rsidP="00CB2FF5">
      <w:pPr>
        <w:autoSpaceDE w:val="0"/>
        <w:autoSpaceDN w:val="0"/>
        <w:adjustRightInd w:val="0"/>
        <w:spacing w:after="0" w:line="240" w:lineRule="auto"/>
        <w:ind w:left="1701"/>
        <w:jc w:val="both"/>
        <w:rPr>
          <w:rFonts w:ascii="Times New Roman" w:hAnsi="Times New Roman"/>
          <w:b/>
          <w:bCs/>
          <w:sz w:val="20"/>
          <w:szCs w:val="20"/>
        </w:rPr>
      </w:pPr>
      <w:r w:rsidRPr="00BE6ED0">
        <w:rPr>
          <w:rFonts w:ascii="Times New Roman" w:hAnsi="Times New Roman"/>
          <w:sz w:val="20"/>
          <w:szCs w:val="20"/>
          <w:lang w:eastAsia="pt-BR"/>
        </w:rPr>
        <w:t>Fonte: Tesouro Gerencial e SIAFI, 2024 e 2023.</w:t>
      </w:r>
    </w:p>
    <w:p w14:paraId="4CBF45A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lang w:eastAsia="pt-BR"/>
        </w:rPr>
      </w:pPr>
    </w:p>
    <w:p w14:paraId="60E13665" w14:textId="77777777" w:rsidR="00CB2FF5" w:rsidRPr="00F02ABE" w:rsidRDefault="00CB2FF5" w:rsidP="00CB2FF5">
      <w:pPr>
        <w:autoSpaceDE w:val="0"/>
        <w:autoSpaceDN w:val="0"/>
        <w:adjustRightInd w:val="0"/>
        <w:spacing w:after="0" w:line="240" w:lineRule="auto"/>
        <w:ind w:left="1701"/>
        <w:rPr>
          <w:rFonts w:ascii="Times New Roman" w:hAnsi="Times New Roman"/>
          <w:b/>
          <w:bCs/>
          <w:sz w:val="24"/>
          <w:szCs w:val="24"/>
          <w:lang w:eastAsia="pt-BR"/>
        </w:rPr>
      </w:pPr>
      <w:r w:rsidRPr="00F02ABE">
        <w:rPr>
          <w:rFonts w:ascii="Times New Roman" w:hAnsi="Times New Roman"/>
          <w:b/>
          <w:color w:val="000000"/>
          <w:sz w:val="24"/>
          <w:szCs w:val="24"/>
          <w:lang w:eastAsia="pt-BR"/>
        </w:rPr>
        <w:t>8</w:t>
      </w:r>
      <w:r w:rsidRPr="00F02ABE">
        <w:rPr>
          <w:rFonts w:ascii="Times New Roman" w:hAnsi="Times New Roman"/>
          <w:color w:val="000000"/>
          <w:sz w:val="24"/>
          <w:szCs w:val="24"/>
          <w:lang w:eastAsia="pt-BR"/>
        </w:rPr>
        <w:t xml:space="preserve"> - </w:t>
      </w:r>
      <w:r w:rsidRPr="00F02ABE">
        <w:rPr>
          <w:rFonts w:ascii="Times New Roman" w:hAnsi="Times New Roman"/>
          <w:b/>
          <w:bCs/>
          <w:sz w:val="24"/>
          <w:szCs w:val="24"/>
          <w:lang w:eastAsia="pt-BR"/>
        </w:rPr>
        <w:t>NOTAS EXPLICATIVAS À DEMONSTRAÇÃO DAS VARIAÇÕES PATRIMONIAIS – DVP</w:t>
      </w:r>
    </w:p>
    <w:p w14:paraId="3AF0A924" w14:textId="77777777" w:rsidR="00CB2FF5" w:rsidRPr="00F02ABE" w:rsidRDefault="00CB2FF5" w:rsidP="00CB2FF5">
      <w:pPr>
        <w:autoSpaceDE w:val="0"/>
        <w:autoSpaceDN w:val="0"/>
        <w:adjustRightInd w:val="0"/>
        <w:spacing w:after="0" w:line="240" w:lineRule="auto"/>
        <w:ind w:left="1701"/>
        <w:rPr>
          <w:rFonts w:ascii="Times New Roman" w:hAnsi="Times New Roman"/>
          <w:b/>
          <w:bCs/>
          <w:sz w:val="24"/>
          <w:szCs w:val="24"/>
          <w:lang w:eastAsia="pt-BR"/>
        </w:rPr>
      </w:pPr>
    </w:p>
    <w:p w14:paraId="3D95ABDC" w14:textId="77777777" w:rsidR="00CB2FF5" w:rsidRPr="00F02ABE" w:rsidRDefault="00CB2FF5" w:rsidP="00CB2FF5">
      <w:pPr>
        <w:pStyle w:val="Default"/>
        <w:ind w:left="1701"/>
        <w:jc w:val="both"/>
      </w:pPr>
      <w:r w:rsidRPr="00F02ABE">
        <w:t xml:space="preserve">A DVP demonstra as mutações ocorridas no patrimônio no exercício corrente, isto é, evidencia as alterações nos bens, direitos e obrigações do órgão, resultantes ou independentes da execução orçamentária, e indica o resultado patrimonial do exercício, agregado ao Patrimônio Líquido no grupo de “Resultados Acumulados”, item Resultado do Exercício. </w:t>
      </w:r>
    </w:p>
    <w:p w14:paraId="31EEF256" w14:textId="77777777" w:rsidR="00CB2FF5" w:rsidRDefault="00CB2FF5" w:rsidP="00CB2FF5">
      <w:pPr>
        <w:autoSpaceDE w:val="0"/>
        <w:autoSpaceDN w:val="0"/>
        <w:adjustRightInd w:val="0"/>
        <w:spacing w:after="0" w:line="240" w:lineRule="auto"/>
        <w:ind w:left="1701"/>
        <w:jc w:val="both"/>
        <w:rPr>
          <w:rFonts w:ascii="Times New Roman" w:hAnsi="Times New Roman"/>
          <w:sz w:val="24"/>
          <w:szCs w:val="24"/>
        </w:rPr>
      </w:pPr>
      <w:r w:rsidRPr="00F02ABE">
        <w:rPr>
          <w:rFonts w:ascii="Times New Roman" w:hAnsi="Times New Roman"/>
          <w:sz w:val="24"/>
          <w:szCs w:val="24"/>
        </w:rPr>
        <w:t>Em suma, a DVP evidencia a contrapartida (aumentativa ou diminutiva) dos registros realizados no Balanço Patrimonial.</w:t>
      </w:r>
    </w:p>
    <w:p w14:paraId="36D397CC" w14:textId="3B33A363" w:rsidR="00CB2FF5" w:rsidRDefault="00CB2FF5" w:rsidP="00CB2FF5">
      <w:pPr>
        <w:autoSpaceDE w:val="0"/>
        <w:autoSpaceDN w:val="0"/>
        <w:adjustRightInd w:val="0"/>
        <w:spacing w:after="0" w:line="240" w:lineRule="auto"/>
        <w:ind w:left="1701"/>
        <w:jc w:val="both"/>
        <w:rPr>
          <w:rFonts w:ascii="Times New Roman" w:hAnsi="Times New Roman"/>
          <w:sz w:val="24"/>
          <w:szCs w:val="24"/>
        </w:rPr>
      </w:pPr>
    </w:p>
    <w:p w14:paraId="2E4F81CF" w14:textId="77777777" w:rsidR="00695635" w:rsidRDefault="00695635" w:rsidP="00CB2FF5">
      <w:pPr>
        <w:autoSpaceDE w:val="0"/>
        <w:autoSpaceDN w:val="0"/>
        <w:adjustRightInd w:val="0"/>
        <w:spacing w:after="0" w:line="240" w:lineRule="auto"/>
        <w:ind w:left="1701"/>
        <w:rPr>
          <w:rFonts w:ascii="Times New Roman" w:hAnsi="Times New Roman"/>
          <w:b/>
          <w:bCs/>
          <w:sz w:val="24"/>
          <w:szCs w:val="24"/>
          <w:lang w:eastAsia="pt-BR"/>
        </w:rPr>
      </w:pPr>
    </w:p>
    <w:p w14:paraId="660689FB" w14:textId="77777777" w:rsidR="000C6CF7" w:rsidRDefault="000C6CF7" w:rsidP="00CB2FF5">
      <w:pPr>
        <w:autoSpaceDE w:val="0"/>
        <w:autoSpaceDN w:val="0"/>
        <w:adjustRightInd w:val="0"/>
        <w:spacing w:after="0" w:line="240" w:lineRule="auto"/>
        <w:ind w:left="1701"/>
        <w:rPr>
          <w:rFonts w:ascii="Times New Roman" w:hAnsi="Times New Roman"/>
          <w:b/>
          <w:bCs/>
          <w:sz w:val="24"/>
          <w:szCs w:val="24"/>
          <w:lang w:eastAsia="pt-BR"/>
        </w:rPr>
      </w:pPr>
    </w:p>
    <w:p w14:paraId="1FA4003C" w14:textId="77777777" w:rsidR="000C6CF7" w:rsidRDefault="000C6CF7" w:rsidP="00CB2FF5">
      <w:pPr>
        <w:autoSpaceDE w:val="0"/>
        <w:autoSpaceDN w:val="0"/>
        <w:adjustRightInd w:val="0"/>
        <w:spacing w:after="0" w:line="240" w:lineRule="auto"/>
        <w:ind w:left="1701"/>
        <w:rPr>
          <w:rFonts w:ascii="Times New Roman" w:hAnsi="Times New Roman"/>
          <w:b/>
          <w:bCs/>
          <w:sz w:val="24"/>
          <w:szCs w:val="24"/>
          <w:lang w:eastAsia="pt-BR"/>
        </w:rPr>
      </w:pPr>
    </w:p>
    <w:p w14:paraId="15E5DD66" w14:textId="77777777" w:rsidR="000C6CF7" w:rsidRDefault="000C6CF7" w:rsidP="00CB2FF5">
      <w:pPr>
        <w:autoSpaceDE w:val="0"/>
        <w:autoSpaceDN w:val="0"/>
        <w:adjustRightInd w:val="0"/>
        <w:spacing w:after="0" w:line="240" w:lineRule="auto"/>
        <w:ind w:left="1701"/>
        <w:rPr>
          <w:rFonts w:ascii="Times New Roman" w:hAnsi="Times New Roman"/>
          <w:b/>
          <w:bCs/>
          <w:sz w:val="24"/>
          <w:szCs w:val="24"/>
          <w:lang w:eastAsia="pt-BR"/>
        </w:rPr>
      </w:pPr>
    </w:p>
    <w:p w14:paraId="64B33FF0" w14:textId="77777777" w:rsidR="000C6CF7" w:rsidRDefault="000C6CF7" w:rsidP="00CB2FF5">
      <w:pPr>
        <w:autoSpaceDE w:val="0"/>
        <w:autoSpaceDN w:val="0"/>
        <w:adjustRightInd w:val="0"/>
        <w:spacing w:after="0" w:line="240" w:lineRule="auto"/>
        <w:ind w:left="1701"/>
        <w:rPr>
          <w:rFonts w:ascii="Times New Roman" w:hAnsi="Times New Roman"/>
          <w:b/>
          <w:bCs/>
          <w:sz w:val="24"/>
          <w:szCs w:val="24"/>
          <w:lang w:eastAsia="pt-BR"/>
        </w:rPr>
      </w:pPr>
    </w:p>
    <w:p w14:paraId="2539DDBF" w14:textId="77777777" w:rsidR="000C6CF7" w:rsidRDefault="000C6CF7" w:rsidP="00CB2FF5">
      <w:pPr>
        <w:autoSpaceDE w:val="0"/>
        <w:autoSpaceDN w:val="0"/>
        <w:adjustRightInd w:val="0"/>
        <w:spacing w:after="0" w:line="240" w:lineRule="auto"/>
        <w:ind w:left="1701"/>
        <w:rPr>
          <w:rFonts w:ascii="Times New Roman" w:hAnsi="Times New Roman"/>
          <w:b/>
          <w:bCs/>
          <w:sz w:val="24"/>
          <w:szCs w:val="24"/>
          <w:lang w:eastAsia="pt-BR"/>
        </w:rPr>
      </w:pPr>
    </w:p>
    <w:p w14:paraId="6E733CAE" w14:textId="4BA8C928" w:rsidR="00CB2FF5" w:rsidRPr="00F02ABE" w:rsidRDefault="00CB2FF5" w:rsidP="00CB2FF5">
      <w:pPr>
        <w:autoSpaceDE w:val="0"/>
        <w:autoSpaceDN w:val="0"/>
        <w:adjustRightInd w:val="0"/>
        <w:spacing w:after="0" w:line="240" w:lineRule="auto"/>
        <w:ind w:left="1701"/>
        <w:rPr>
          <w:rFonts w:ascii="Times New Roman" w:hAnsi="Times New Roman"/>
          <w:b/>
          <w:bCs/>
          <w:sz w:val="24"/>
          <w:szCs w:val="24"/>
        </w:rPr>
      </w:pPr>
      <w:r w:rsidRPr="00F02ABE">
        <w:rPr>
          <w:rFonts w:ascii="Times New Roman" w:hAnsi="Times New Roman"/>
          <w:b/>
          <w:bCs/>
          <w:sz w:val="24"/>
          <w:szCs w:val="24"/>
          <w:lang w:eastAsia="pt-BR"/>
        </w:rPr>
        <w:lastRenderedPageBreak/>
        <w:t xml:space="preserve">8.1 </w:t>
      </w:r>
      <w:r w:rsidRPr="00F02ABE">
        <w:rPr>
          <w:rFonts w:ascii="Times New Roman" w:hAnsi="Times New Roman"/>
          <w:b/>
          <w:bCs/>
          <w:sz w:val="24"/>
          <w:szCs w:val="24"/>
        </w:rPr>
        <w:t>Resultado Patrimonial do Período</w:t>
      </w:r>
    </w:p>
    <w:p w14:paraId="55EBDBAA" w14:textId="77777777" w:rsidR="00CB2FF5" w:rsidRPr="00F02ABE" w:rsidRDefault="00CB2FF5" w:rsidP="00CB2FF5">
      <w:pPr>
        <w:autoSpaceDE w:val="0"/>
        <w:autoSpaceDN w:val="0"/>
        <w:adjustRightInd w:val="0"/>
        <w:spacing w:after="0" w:line="240" w:lineRule="auto"/>
        <w:ind w:left="1701"/>
        <w:rPr>
          <w:rFonts w:ascii="Times New Roman" w:hAnsi="Times New Roman"/>
          <w:b/>
          <w:bCs/>
          <w:sz w:val="24"/>
          <w:szCs w:val="24"/>
        </w:rPr>
      </w:pPr>
    </w:p>
    <w:p w14:paraId="5456FDB8" w14:textId="7351FFD0" w:rsidR="00CB2FF5" w:rsidRPr="00F02ABE" w:rsidRDefault="00CB2FF5" w:rsidP="00CB2FF5">
      <w:pPr>
        <w:autoSpaceDE w:val="0"/>
        <w:autoSpaceDN w:val="0"/>
        <w:adjustRightInd w:val="0"/>
        <w:spacing w:after="0" w:line="240" w:lineRule="auto"/>
        <w:ind w:left="1701"/>
        <w:rPr>
          <w:rFonts w:ascii="Times New Roman" w:hAnsi="Times New Roman"/>
          <w:b/>
          <w:bCs/>
          <w:sz w:val="24"/>
          <w:szCs w:val="24"/>
        </w:rPr>
      </w:pPr>
      <w:r w:rsidRPr="00F02ABE">
        <w:rPr>
          <w:rFonts w:ascii="Times New Roman" w:hAnsi="Times New Roman"/>
          <w:b/>
          <w:bCs/>
          <w:sz w:val="24"/>
          <w:szCs w:val="24"/>
        </w:rPr>
        <w:t xml:space="preserve">Tabela 19 - Resultado Patrimonial do </w:t>
      </w:r>
      <w:r w:rsidR="00146DD7">
        <w:rPr>
          <w:rFonts w:ascii="Times New Roman" w:hAnsi="Times New Roman"/>
          <w:b/>
          <w:bCs/>
          <w:sz w:val="24"/>
          <w:szCs w:val="24"/>
        </w:rPr>
        <w:t>4</w:t>
      </w:r>
      <w:r w:rsidRPr="00F02ABE">
        <w:rPr>
          <w:rFonts w:ascii="Times New Roman" w:hAnsi="Times New Roman"/>
          <w:b/>
          <w:bCs/>
          <w:sz w:val="24"/>
          <w:szCs w:val="24"/>
        </w:rPr>
        <w:t>º trimestre/202</w:t>
      </w:r>
      <w:r>
        <w:rPr>
          <w:rFonts w:ascii="Times New Roman" w:hAnsi="Times New Roman"/>
          <w:b/>
          <w:bCs/>
          <w:sz w:val="24"/>
          <w:szCs w:val="24"/>
        </w:rPr>
        <w:t>4</w:t>
      </w:r>
    </w:p>
    <w:p w14:paraId="28506A71" w14:textId="1653234E" w:rsidR="00CB2FF5" w:rsidRPr="00F02ABE" w:rsidRDefault="00CB2FF5" w:rsidP="00CB2FF5">
      <w:pPr>
        <w:autoSpaceDE w:val="0"/>
        <w:autoSpaceDN w:val="0"/>
        <w:adjustRightInd w:val="0"/>
        <w:spacing w:after="0" w:line="240" w:lineRule="auto"/>
        <w:ind w:left="1701"/>
        <w:jc w:val="right"/>
        <w:rPr>
          <w:rFonts w:ascii="Times New Roman" w:hAnsi="Times New Roman"/>
          <w:bCs/>
          <w:sz w:val="24"/>
          <w:szCs w:val="24"/>
        </w:rPr>
      </w:pPr>
      <w:r w:rsidRPr="00F02ABE">
        <w:rPr>
          <w:rFonts w:ascii="Times New Roman" w:hAnsi="Times New Roman"/>
          <w:bCs/>
          <w:sz w:val="24"/>
          <w:szCs w:val="24"/>
        </w:rPr>
        <w:t xml:space="preserve">                                                                                                                                                                                                                                    </w:t>
      </w:r>
    </w:p>
    <w:tbl>
      <w:tblPr>
        <w:tblW w:w="12328"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756"/>
        <w:gridCol w:w="1788"/>
        <w:gridCol w:w="1706"/>
        <w:gridCol w:w="1413"/>
      </w:tblGrid>
      <w:tr w:rsidR="00CB2FF5" w:rsidRPr="00F02ABE" w14:paraId="74EEEB02" w14:textId="77777777" w:rsidTr="007B5ADB">
        <w:tc>
          <w:tcPr>
            <w:tcW w:w="5665" w:type="dxa"/>
          </w:tcPr>
          <w:p w14:paraId="3010286D" w14:textId="77777777" w:rsidR="00CB2FF5" w:rsidRPr="00F02ABE" w:rsidRDefault="00CB2FF5" w:rsidP="00242CBD">
            <w:pPr>
              <w:autoSpaceDE w:val="0"/>
              <w:autoSpaceDN w:val="0"/>
              <w:adjustRightInd w:val="0"/>
              <w:spacing w:after="0" w:line="240" w:lineRule="auto"/>
              <w:rPr>
                <w:rFonts w:ascii="Times New Roman" w:hAnsi="Times New Roman"/>
                <w:b/>
                <w:bCs/>
                <w:sz w:val="24"/>
                <w:szCs w:val="24"/>
                <w:lang w:eastAsia="pt-BR"/>
              </w:rPr>
            </w:pPr>
            <w:r w:rsidRPr="00F02ABE">
              <w:rPr>
                <w:rFonts w:ascii="Times New Roman" w:hAnsi="Times New Roman"/>
                <w:b/>
                <w:bCs/>
                <w:sz w:val="24"/>
                <w:szCs w:val="24"/>
                <w:lang w:eastAsia="pt-BR"/>
              </w:rPr>
              <w:t xml:space="preserve">Demonstração Variações Patrimoniais </w:t>
            </w:r>
          </w:p>
        </w:tc>
        <w:tc>
          <w:tcPr>
            <w:tcW w:w="1756" w:type="dxa"/>
          </w:tcPr>
          <w:p w14:paraId="76EB99FD" w14:textId="1A7C8DF5" w:rsidR="00CB2FF5" w:rsidRPr="00F02ABE" w:rsidRDefault="00CB2FF5" w:rsidP="00242CBD">
            <w:pPr>
              <w:autoSpaceDE w:val="0"/>
              <w:autoSpaceDN w:val="0"/>
              <w:adjustRightInd w:val="0"/>
              <w:spacing w:after="0" w:line="240" w:lineRule="auto"/>
              <w:jc w:val="right"/>
              <w:rPr>
                <w:rFonts w:ascii="Times New Roman" w:hAnsi="Times New Roman"/>
                <w:b/>
                <w:bCs/>
                <w:sz w:val="24"/>
                <w:szCs w:val="24"/>
                <w:lang w:eastAsia="pt-BR"/>
              </w:rPr>
            </w:pPr>
            <w:r w:rsidRPr="00F02ABE">
              <w:rPr>
                <w:rFonts w:ascii="Times New Roman" w:hAnsi="Times New Roman"/>
                <w:b/>
                <w:bCs/>
                <w:sz w:val="24"/>
                <w:szCs w:val="24"/>
                <w:lang w:eastAsia="pt-BR"/>
              </w:rPr>
              <w:t>3</w:t>
            </w:r>
            <w:r w:rsidR="007B5ADB">
              <w:rPr>
                <w:rFonts w:ascii="Times New Roman" w:hAnsi="Times New Roman"/>
                <w:b/>
                <w:bCs/>
                <w:sz w:val="24"/>
                <w:szCs w:val="24"/>
                <w:lang w:eastAsia="pt-BR"/>
              </w:rPr>
              <w:t>1</w:t>
            </w:r>
            <w:r w:rsidRPr="00F02ABE">
              <w:rPr>
                <w:rFonts w:ascii="Times New Roman" w:hAnsi="Times New Roman"/>
                <w:b/>
                <w:bCs/>
                <w:sz w:val="24"/>
                <w:szCs w:val="24"/>
                <w:lang w:eastAsia="pt-BR"/>
              </w:rPr>
              <w:t>/</w:t>
            </w:r>
            <w:r w:rsidR="007B5ADB">
              <w:rPr>
                <w:rFonts w:ascii="Times New Roman" w:hAnsi="Times New Roman"/>
                <w:b/>
                <w:bCs/>
                <w:sz w:val="24"/>
                <w:szCs w:val="24"/>
                <w:lang w:eastAsia="pt-BR"/>
              </w:rPr>
              <w:t>12</w:t>
            </w:r>
            <w:r w:rsidRPr="00F02ABE">
              <w:rPr>
                <w:rFonts w:ascii="Times New Roman" w:hAnsi="Times New Roman"/>
                <w:b/>
                <w:bCs/>
                <w:sz w:val="24"/>
                <w:szCs w:val="24"/>
                <w:lang w:eastAsia="pt-BR"/>
              </w:rPr>
              <w:t>/202</w:t>
            </w:r>
            <w:r>
              <w:rPr>
                <w:rFonts w:ascii="Times New Roman" w:hAnsi="Times New Roman"/>
                <w:b/>
                <w:bCs/>
                <w:sz w:val="24"/>
                <w:szCs w:val="24"/>
                <w:lang w:eastAsia="pt-BR"/>
              </w:rPr>
              <w:t>4</w:t>
            </w:r>
          </w:p>
        </w:tc>
        <w:tc>
          <w:tcPr>
            <w:tcW w:w="1788" w:type="dxa"/>
          </w:tcPr>
          <w:p w14:paraId="477F682F" w14:textId="2479F54F" w:rsidR="00CB2FF5" w:rsidRPr="00F02ABE" w:rsidRDefault="007B5ADB" w:rsidP="00242CBD">
            <w:pPr>
              <w:autoSpaceDE w:val="0"/>
              <w:autoSpaceDN w:val="0"/>
              <w:adjustRightInd w:val="0"/>
              <w:spacing w:after="0" w:line="240" w:lineRule="auto"/>
              <w:jc w:val="right"/>
              <w:rPr>
                <w:rFonts w:ascii="Times New Roman" w:hAnsi="Times New Roman"/>
                <w:b/>
                <w:bCs/>
                <w:sz w:val="24"/>
                <w:szCs w:val="24"/>
                <w:lang w:eastAsia="pt-BR"/>
              </w:rPr>
            </w:pPr>
            <w:r>
              <w:rPr>
                <w:rFonts w:ascii="Times New Roman" w:hAnsi="Times New Roman"/>
                <w:b/>
                <w:bCs/>
                <w:sz w:val="24"/>
                <w:szCs w:val="24"/>
                <w:lang w:eastAsia="pt-BR"/>
              </w:rPr>
              <w:t>31/12</w:t>
            </w:r>
            <w:r w:rsidR="00CB2FF5" w:rsidRPr="00F02ABE">
              <w:rPr>
                <w:rFonts w:ascii="Times New Roman" w:hAnsi="Times New Roman"/>
                <w:b/>
                <w:bCs/>
                <w:sz w:val="24"/>
                <w:szCs w:val="24"/>
                <w:lang w:eastAsia="pt-BR"/>
              </w:rPr>
              <w:t>/202</w:t>
            </w:r>
            <w:r w:rsidR="00C00132">
              <w:rPr>
                <w:rFonts w:ascii="Times New Roman" w:hAnsi="Times New Roman"/>
                <w:b/>
                <w:bCs/>
                <w:sz w:val="24"/>
                <w:szCs w:val="24"/>
                <w:lang w:eastAsia="pt-BR"/>
              </w:rPr>
              <w:t>3</w:t>
            </w:r>
          </w:p>
        </w:tc>
        <w:tc>
          <w:tcPr>
            <w:tcW w:w="1706" w:type="dxa"/>
          </w:tcPr>
          <w:p w14:paraId="7DCCB4DA" w14:textId="0966E911" w:rsidR="00CB2FF5" w:rsidRPr="00F02ABE" w:rsidRDefault="00CB2FF5" w:rsidP="00242CBD">
            <w:pPr>
              <w:autoSpaceDE w:val="0"/>
              <w:autoSpaceDN w:val="0"/>
              <w:adjustRightInd w:val="0"/>
              <w:spacing w:after="0" w:line="240" w:lineRule="auto"/>
              <w:jc w:val="right"/>
              <w:rPr>
                <w:rFonts w:ascii="Times New Roman" w:hAnsi="Times New Roman"/>
                <w:b/>
                <w:bCs/>
                <w:sz w:val="24"/>
                <w:szCs w:val="24"/>
                <w:lang w:eastAsia="pt-BR"/>
              </w:rPr>
            </w:pPr>
            <w:r w:rsidRPr="00F02ABE">
              <w:rPr>
                <w:rFonts w:ascii="Times New Roman" w:hAnsi="Times New Roman"/>
                <w:b/>
                <w:bCs/>
                <w:sz w:val="24"/>
                <w:szCs w:val="24"/>
                <w:lang w:eastAsia="pt-BR"/>
              </w:rPr>
              <w:t>AH</w:t>
            </w:r>
            <w:r w:rsidR="00695635">
              <w:rPr>
                <w:rFonts w:ascii="Times New Roman" w:hAnsi="Times New Roman"/>
                <w:b/>
                <w:bCs/>
                <w:sz w:val="24"/>
                <w:szCs w:val="24"/>
                <w:lang w:eastAsia="pt-BR"/>
              </w:rPr>
              <w:t xml:space="preserve"> </w:t>
            </w:r>
            <w:r w:rsidRPr="00F02ABE">
              <w:rPr>
                <w:rFonts w:ascii="Times New Roman" w:hAnsi="Times New Roman"/>
                <w:b/>
                <w:bCs/>
                <w:sz w:val="24"/>
                <w:szCs w:val="24"/>
                <w:lang w:eastAsia="pt-BR"/>
              </w:rPr>
              <w:t>(%)</w:t>
            </w:r>
          </w:p>
        </w:tc>
        <w:tc>
          <w:tcPr>
            <w:tcW w:w="1413" w:type="dxa"/>
          </w:tcPr>
          <w:p w14:paraId="314310F9" w14:textId="4C07F9B5" w:rsidR="00CB2FF5" w:rsidRPr="00F02ABE" w:rsidRDefault="00CB2FF5" w:rsidP="00242CBD">
            <w:pPr>
              <w:autoSpaceDE w:val="0"/>
              <w:autoSpaceDN w:val="0"/>
              <w:adjustRightInd w:val="0"/>
              <w:spacing w:after="0" w:line="240" w:lineRule="auto"/>
              <w:jc w:val="right"/>
              <w:rPr>
                <w:rFonts w:ascii="Times New Roman" w:hAnsi="Times New Roman"/>
                <w:b/>
                <w:bCs/>
                <w:sz w:val="24"/>
                <w:szCs w:val="24"/>
                <w:lang w:eastAsia="pt-BR"/>
              </w:rPr>
            </w:pPr>
            <w:r w:rsidRPr="00F02ABE">
              <w:rPr>
                <w:rFonts w:ascii="Times New Roman" w:hAnsi="Times New Roman"/>
                <w:b/>
                <w:bCs/>
                <w:sz w:val="24"/>
                <w:szCs w:val="24"/>
                <w:lang w:eastAsia="pt-BR"/>
              </w:rPr>
              <w:t>AV</w:t>
            </w:r>
            <w:r w:rsidR="00695635">
              <w:rPr>
                <w:rFonts w:ascii="Times New Roman" w:hAnsi="Times New Roman"/>
                <w:b/>
                <w:bCs/>
                <w:sz w:val="24"/>
                <w:szCs w:val="24"/>
                <w:lang w:eastAsia="pt-BR"/>
              </w:rPr>
              <w:t xml:space="preserve"> </w:t>
            </w:r>
            <w:r w:rsidRPr="00F02ABE">
              <w:rPr>
                <w:rFonts w:ascii="Times New Roman" w:hAnsi="Times New Roman"/>
                <w:b/>
                <w:bCs/>
                <w:sz w:val="24"/>
                <w:szCs w:val="24"/>
                <w:lang w:eastAsia="pt-BR"/>
              </w:rPr>
              <w:t>(%)</w:t>
            </w:r>
          </w:p>
        </w:tc>
      </w:tr>
      <w:tr w:rsidR="00CB2FF5" w:rsidRPr="00F02ABE" w14:paraId="31489CAE" w14:textId="77777777" w:rsidTr="007B5ADB">
        <w:tc>
          <w:tcPr>
            <w:tcW w:w="5665" w:type="dxa"/>
          </w:tcPr>
          <w:p w14:paraId="0CBAA1AB" w14:textId="77777777" w:rsidR="00CB2FF5" w:rsidRPr="00F02ABE" w:rsidRDefault="00CB2FF5" w:rsidP="00242CBD">
            <w:pPr>
              <w:autoSpaceDE w:val="0"/>
              <w:autoSpaceDN w:val="0"/>
              <w:adjustRightInd w:val="0"/>
              <w:spacing w:after="0" w:line="240" w:lineRule="auto"/>
              <w:rPr>
                <w:rFonts w:ascii="Times New Roman" w:hAnsi="Times New Roman"/>
                <w:bCs/>
                <w:sz w:val="24"/>
                <w:szCs w:val="24"/>
                <w:lang w:eastAsia="pt-BR"/>
              </w:rPr>
            </w:pPr>
            <w:r w:rsidRPr="00F02ABE">
              <w:rPr>
                <w:rFonts w:ascii="Times New Roman" w:hAnsi="Times New Roman"/>
                <w:bCs/>
                <w:sz w:val="24"/>
                <w:szCs w:val="24"/>
                <w:lang w:eastAsia="pt-BR"/>
              </w:rPr>
              <w:t>VARIAÇÕES PATRIMONIAIS AUMENTATIVAS</w:t>
            </w:r>
          </w:p>
        </w:tc>
        <w:tc>
          <w:tcPr>
            <w:tcW w:w="1756" w:type="dxa"/>
          </w:tcPr>
          <w:p w14:paraId="6ED8CCFF" w14:textId="1A872411" w:rsidR="00CB2FF5" w:rsidRPr="00F02ABE" w:rsidRDefault="007B5ADB" w:rsidP="00242CBD">
            <w:pPr>
              <w:autoSpaceDE w:val="0"/>
              <w:autoSpaceDN w:val="0"/>
              <w:adjustRightInd w:val="0"/>
              <w:spacing w:after="0" w:line="240" w:lineRule="auto"/>
              <w:jc w:val="right"/>
              <w:rPr>
                <w:rFonts w:ascii="Times New Roman" w:hAnsi="Times New Roman"/>
                <w:bCs/>
                <w:sz w:val="24"/>
                <w:szCs w:val="24"/>
                <w:lang w:eastAsia="pt-BR"/>
              </w:rPr>
            </w:pPr>
            <w:r>
              <w:rPr>
                <w:rFonts w:ascii="Times New Roman" w:hAnsi="Times New Roman"/>
                <w:bCs/>
                <w:sz w:val="24"/>
                <w:szCs w:val="24"/>
                <w:lang w:eastAsia="pt-BR"/>
              </w:rPr>
              <w:t>731.172.204,31</w:t>
            </w:r>
          </w:p>
        </w:tc>
        <w:tc>
          <w:tcPr>
            <w:tcW w:w="1788" w:type="dxa"/>
          </w:tcPr>
          <w:p w14:paraId="0E3D5577" w14:textId="0858270F" w:rsidR="00CB2FF5" w:rsidRPr="00F02ABE" w:rsidRDefault="007B5ADB" w:rsidP="00242CBD">
            <w:pPr>
              <w:autoSpaceDE w:val="0"/>
              <w:autoSpaceDN w:val="0"/>
              <w:adjustRightInd w:val="0"/>
              <w:spacing w:after="0" w:line="240" w:lineRule="auto"/>
              <w:jc w:val="right"/>
              <w:rPr>
                <w:rFonts w:ascii="Times New Roman" w:hAnsi="Times New Roman"/>
                <w:bCs/>
                <w:sz w:val="24"/>
                <w:szCs w:val="24"/>
                <w:lang w:eastAsia="pt-BR"/>
              </w:rPr>
            </w:pPr>
            <w:r>
              <w:rPr>
                <w:rFonts w:ascii="Times New Roman" w:hAnsi="Times New Roman"/>
                <w:bCs/>
                <w:sz w:val="24"/>
                <w:szCs w:val="24"/>
                <w:lang w:eastAsia="pt-BR"/>
              </w:rPr>
              <w:t>651.473.937,23</w:t>
            </w:r>
          </w:p>
        </w:tc>
        <w:tc>
          <w:tcPr>
            <w:tcW w:w="1706" w:type="dxa"/>
          </w:tcPr>
          <w:p w14:paraId="62046F66" w14:textId="4A8AEC8D" w:rsidR="00CB2FF5" w:rsidRPr="00F02ABE" w:rsidRDefault="007B5ADB" w:rsidP="00242CBD">
            <w:pPr>
              <w:autoSpaceDE w:val="0"/>
              <w:autoSpaceDN w:val="0"/>
              <w:adjustRightInd w:val="0"/>
              <w:spacing w:after="0" w:line="240" w:lineRule="auto"/>
              <w:jc w:val="center"/>
              <w:rPr>
                <w:rFonts w:ascii="Times New Roman" w:hAnsi="Times New Roman"/>
                <w:bCs/>
                <w:sz w:val="24"/>
                <w:szCs w:val="24"/>
                <w:lang w:eastAsia="pt-BR"/>
              </w:rPr>
            </w:pPr>
            <w:r>
              <w:rPr>
                <w:rFonts w:ascii="Times New Roman" w:hAnsi="Times New Roman"/>
                <w:bCs/>
                <w:sz w:val="24"/>
                <w:szCs w:val="24"/>
                <w:lang w:eastAsia="pt-BR"/>
              </w:rPr>
              <w:t>12,23</w:t>
            </w:r>
          </w:p>
        </w:tc>
        <w:tc>
          <w:tcPr>
            <w:tcW w:w="1413" w:type="dxa"/>
          </w:tcPr>
          <w:p w14:paraId="5F328C98" w14:textId="77777777" w:rsidR="00CB2FF5" w:rsidRPr="00F02ABE" w:rsidRDefault="00CB2FF5" w:rsidP="00242CBD">
            <w:pPr>
              <w:autoSpaceDE w:val="0"/>
              <w:autoSpaceDN w:val="0"/>
              <w:adjustRightInd w:val="0"/>
              <w:spacing w:after="0" w:line="240" w:lineRule="auto"/>
              <w:jc w:val="center"/>
              <w:rPr>
                <w:rFonts w:ascii="Times New Roman" w:hAnsi="Times New Roman"/>
                <w:bCs/>
                <w:sz w:val="24"/>
                <w:szCs w:val="24"/>
                <w:lang w:eastAsia="pt-BR"/>
              </w:rPr>
            </w:pPr>
            <w:r w:rsidRPr="00F02ABE">
              <w:rPr>
                <w:rFonts w:ascii="Times New Roman" w:hAnsi="Times New Roman"/>
                <w:bCs/>
                <w:sz w:val="24"/>
                <w:szCs w:val="24"/>
                <w:lang w:eastAsia="pt-BR"/>
              </w:rPr>
              <w:t>100</w:t>
            </w:r>
          </w:p>
        </w:tc>
      </w:tr>
      <w:tr w:rsidR="00CB2FF5" w:rsidRPr="00F02ABE" w14:paraId="0F1003AD" w14:textId="77777777" w:rsidTr="007B5ADB">
        <w:tc>
          <w:tcPr>
            <w:tcW w:w="5665" w:type="dxa"/>
          </w:tcPr>
          <w:p w14:paraId="49AF838C" w14:textId="77777777" w:rsidR="00CB2FF5" w:rsidRPr="00F02ABE" w:rsidRDefault="00CB2FF5" w:rsidP="00242CBD">
            <w:pPr>
              <w:autoSpaceDE w:val="0"/>
              <w:autoSpaceDN w:val="0"/>
              <w:adjustRightInd w:val="0"/>
              <w:spacing w:after="0" w:line="240" w:lineRule="auto"/>
              <w:rPr>
                <w:rFonts w:ascii="Times New Roman" w:hAnsi="Times New Roman"/>
                <w:bCs/>
                <w:sz w:val="24"/>
                <w:szCs w:val="24"/>
                <w:lang w:eastAsia="pt-BR"/>
              </w:rPr>
            </w:pPr>
            <w:r w:rsidRPr="00F02ABE">
              <w:rPr>
                <w:rFonts w:ascii="Times New Roman" w:hAnsi="Times New Roman"/>
                <w:bCs/>
                <w:sz w:val="24"/>
                <w:szCs w:val="24"/>
                <w:lang w:eastAsia="pt-BR"/>
              </w:rPr>
              <w:t>VARIAÇÕES PATRIMONIAIS DIMINUTIVAS</w:t>
            </w:r>
          </w:p>
        </w:tc>
        <w:tc>
          <w:tcPr>
            <w:tcW w:w="1756" w:type="dxa"/>
          </w:tcPr>
          <w:p w14:paraId="6D565E82" w14:textId="1B4A9F70" w:rsidR="00CB2FF5" w:rsidRPr="00F02ABE" w:rsidRDefault="007B5ADB" w:rsidP="00242CBD">
            <w:pPr>
              <w:autoSpaceDE w:val="0"/>
              <w:autoSpaceDN w:val="0"/>
              <w:adjustRightInd w:val="0"/>
              <w:spacing w:after="0" w:line="240" w:lineRule="auto"/>
              <w:jc w:val="right"/>
              <w:rPr>
                <w:rFonts w:ascii="Times New Roman" w:hAnsi="Times New Roman"/>
                <w:bCs/>
                <w:sz w:val="24"/>
                <w:szCs w:val="24"/>
                <w:lang w:eastAsia="pt-BR"/>
              </w:rPr>
            </w:pPr>
            <w:r>
              <w:rPr>
                <w:rFonts w:ascii="Times New Roman" w:hAnsi="Times New Roman"/>
                <w:bCs/>
                <w:sz w:val="24"/>
                <w:szCs w:val="24"/>
                <w:lang w:eastAsia="pt-BR"/>
              </w:rPr>
              <w:t>757.734.723,76</w:t>
            </w:r>
          </w:p>
        </w:tc>
        <w:tc>
          <w:tcPr>
            <w:tcW w:w="1788" w:type="dxa"/>
          </w:tcPr>
          <w:p w14:paraId="25749A76" w14:textId="7443D798" w:rsidR="00CB2FF5" w:rsidRPr="00F02ABE" w:rsidRDefault="007B5ADB" w:rsidP="00242CBD">
            <w:pPr>
              <w:autoSpaceDE w:val="0"/>
              <w:autoSpaceDN w:val="0"/>
              <w:adjustRightInd w:val="0"/>
              <w:spacing w:after="0" w:line="240" w:lineRule="auto"/>
              <w:jc w:val="right"/>
              <w:rPr>
                <w:rFonts w:ascii="Times New Roman" w:hAnsi="Times New Roman"/>
                <w:bCs/>
                <w:sz w:val="24"/>
                <w:szCs w:val="24"/>
                <w:lang w:eastAsia="pt-BR"/>
              </w:rPr>
            </w:pPr>
            <w:r>
              <w:rPr>
                <w:rFonts w:ascii="Times New Roman" w:hAnsi="Times New Roman"/>
                <w:bCs/>
                <w:sz w:val="24"/>
                <w:szCs w:val="24"/>
                <w:lang w:eastAsia="pt-BR"/>
              </w:rPr>
              <w:t>676.058.324,57</w:t>
            </w:r>
          </w:p>
        </w:tc>
        <w:tc>
          <w:tcPr>
            <w:tcW w:w="1706" w:type="dxa"/>
          </w:tcPr>
          <w:p w14:paraId="055676D0" w14:textId="6ADE5A02" w:rsidR="00CB2FF5" w:rsidRPr="00F02ABE" w:rsidRDefault="007B5ADB" w:rsidP="00242CBD">
            <w:pPr>
              <w:autoSpaceDE w:val="0"/>
              <w:autoSpaceDN w:val="0"/>
              <w:adjustRightInd w:val="0"/>
              <w:spacing w:after="0" w:line="240" w:lineRule="auto"/>
              <w:jc w:val="center"/>
              <w:rPr>
                <w:rFonts w:ascii="Times New Roman" w:hAnsi="Times New Roman"/>
                <w:bCs/>
                <w:sz w:val="24"/>
                <w:szCs w:val="24"/>
                <w:lang w:eastAsia="pt-BR"/>
              </w:rPr>
            </w:pPr>
            <w:r>
              <w:rPr>
                <w:rFonts w:ascii="Times New Roman" w:hAnsi="Times New Roman"/>
                <w:bCs/>
                <w:sz w:val="24"/>
                <w:szCs w:val="24"/>
                <w:lang w:eastAsia="pt-BR"/>
              </w:rPr>
              <w:t>12,08</w:t>
            </w:r>
          </w:p>
        </w:tc>
        <w:tc>
          <w:tcPr>
            <w:tcW w:w="1413" w:type="dxa"/>
          </w:tcPr>
          <w:p w14:paraId="6118CA26" w14:textId="77777777" w:rsidR="00CB2FF5" w:rsidRPr="00F02ABE" w:rsidRDefault="00CB2FF5" w:rsidP="00242CBD">
            <w:pPr>
              <w:autoSpaceDE w:val="0"/>
              <w:autoSpaceDN w:val="0"/>
              <w:adjustRightInd w:val="0"/>
              <w:spacing w:after="0" w:line="240" w:lineRule="auto"/>
              <w:jc w:val="center"/>
              <w:rPr>
                <w:rFonts w:ascii="Times New Roman" w:hAnsi="Times New Roman"/>
                <w:bCs/>
                <w:sz w:val="24"/>
                <w:szCs w:val="24"/>
                <w:lang w:eastAsia="pt-BR"/>
              </w:rPr>
            </w:pPr>
            <w:r w:rsidRPr="00F02ABE">
              <w:rPr>
                <w:rFonts w:ascii="Times New Roman" w:hAnsi="Times New Roman"/>
                <w:bCs/>
                <w:sz w:val="24"/>
                <w:szCs w:val="24"/>
                <w:lang w:eastAsia="pt-BR"/>
              </w:rPr>
              <w:t>100</w:t>
            </w:r>
          </w:p>
        </w:tc>
      </w:tr>
      <w:tr w:rsidR="00CB2FF5" w:rsidRPr="00F02ABE" w14:paraId="65570AC9" w14:textId="77777777" w:rsidTr="007B5ADB">
        <w:tc>
          <w:tcPr>
            <w:tcW w:w="5665" w:type="dxa"/>
          </w:tcPr>
          <w:p w14:paraId="7469BE97" w14:textId="77777777" w:rsidR="00CB2FF5" w:rsidRPr="00F02ABE" w:rsidRDefault="00CB2FF5" w:rsidP="00242CBD">
            <w:pPr>
              <w:autoSpaceDE w:val="0"/>
              <w:autoSpaceDN w:val="0"/>
              <w:adjustRightInd w:val="0"/>
              <w:spacing w:after="0" w:line="240" w:lineRule="auto"/>
              <w:rPr>
                <w:rFonts w:ascii="Times New Roman" w:hAnsi="Times New Roman"/>
                <w:b/>
                <w:bCs/>
                <w:sz w:val="24"/>
                <w:szCs w:val="24"/>
                <w:lang w:eastAsia="pt-BR"/>
              </w:rPr>
            </w:pPr>
            <w:r w:rsidRPr="00F02ABE">
              <w:rPr>
                <w:rFonts w:ascii="Times New Roman" w:hAnsi="Times New Roman"/>
                <w:b/>
                <w:bCs/>
                <w:sz w:val="24"/>
                <w:szCs w:val="24"/>
                <w:lang w:eastAsia="pt-BR"/>
              </w:rPr>
              <w:t>RESULTADO PATRIMONIAL DO PERÍODO</w:t>
            </w:r>
          </w:p>
        </w:tc>
        <w:tc>
          <w:tcPr>
            <w:tcW w:w="1756" w:type="dxa"/>
          </w:tcPr>
          <w:p w14:paraId="17C19048" w14:textId="2F100784" w:rsidR="00CB2FF5" w:rsidRPr="00F02ABE" w:rsidRDefault="007B5ADB" w:rsidP="00242CBD">
            <w:pPr>
              <w:autoSpaceDE w:val="0"/>
              <w:autoSpaceDN w:val="0"/>
              <w:adjustRightInd w:val="0"/>
              <w:spacing w:after="0" w:line="240" w:lineRule="auto"/>
              <w:jc w:val="right"/>
              <w:rPr>
                <w:rFonts w:ascii="Times New Roman" w:hAnsi="Times New Roman"/>
                <w:b/>
                <w:bCs/>
                <w:sz w:val="24"/>
                <w:szCs w:val="24"/>
                <w:lang w:eastAsia="pt-BR"/>
              </w:rPr>
            </w:pPr>
            <w:r>
              <w:rPr>
                <w:rFonts w:ascii="Times New Roman" w:hAnsi="Times New Roman"/>
                <w:b/>
                <w:bCs/>
                <w:sz w:val="24"/>
                <w:szCs w:val="24"/>
                <w:lang w:eastAsia="pt-BR"/>
              </w:rPr>
              <w:t>(26.562.519,45)</w:t>
            </w:r>
          </w:p>
        </w:tc>
        <w:tc>
          <w:tcPr>
            <w:tcW w:w="1788" w:type="dxa"/>
          </w:tcPr>
          <w:p w14:paraId="77C8E382" w14:textId="1B06B40B" w:rsidR="00CB2FF5" w:rsidRPr="00F02ABE" w:rsidRDefault="007B5ADB" w:rsidP="00242CBD">
            <w:pPr>
              <w:autoSpaceDE w:val="0"/>
              <w:autoSpaceDN w:val="0"/>
              <w:adjustRightInd w:val="0"/>
              <w:spacing w:after="0" w:line="240" w:lineRule="auto"/>
              <w:jc w:val="right"/>
              <w:rPr>
                <w:rFonts w:ascii="Times New Roman" w:hAnsi="Times New Roman"/>
                <w:b/>
                <w:bCs/>
                <w:sz w:val="24"/>
                <w:szCs w:val="24"/>
                <w:lang w:eastAsia="pt-BR"/>
              </w:rPr>
            </w:pPr>
            <w:r>
              <w:rPr>
                <w:rFonts w:ascii="Times New Roman" w:hAnsi="Times New Roman"/>
                <w:b/>
                <w:bCs/>
                <w:sz w:val="24"/>
                <w:szCs w:val="24"/>
                <w:lang w:eastAsia="pt-BR"/>
              </w:rPr>
              <w:t>(24.584.387,34)</w:t>
            </w:r>
          </w:p>
        </w:tc>
        <w:tc>
          <w:tcPr>
            <w:tcW w:w="1706" w:type="dxa"/>
          </w:tcPr>
          <w:p w14:paraId="70CCEBC2" w14:textId="393615C7" w:rsidR="00CB2FF5" w:rsidRPr="00F02ABE" w:rsidRDefault="007B5ADB" w:rsidP="00242CBD">
            <w:pPr>
              <w:autoSpaceDE w:val="0"/>
              <w:autoSpaceDN w:val="0"/>
              <w:adjustRightInd w:val="0"/>
              <w:spacing w:after="0" w:line="240" w:lineRule="auto"/>
              <w:jc w:val="center"/>
              <w:rPr>
                <w:rFonts w:ascii="Times New Roman" w:hAnsi="Times New Roman"/>
                <w:b/>
                <w:bCs/>
                <w:sz w:val="24"/>
                <w:szCs w:val="24"/>
                <w:lang w:eastAsia="pt-BR"/>
              </w:rPr>
            </w:pPr>
            <w:r>
              <w:rPr>
                <w:rFonts w:ascii="Times New Roman" w:hAnsi="Times New Roman"/>
                <w:b/>
                <w:bCs/>
                <w:sz w:val="24"/>
                <w:szCs w:val="24"/>
                <w:lang w:eastAsia="pt-BR"/>
              </w:rPr>
              <w:t>8,05</w:t>
            </w:r>
          </w:p>
        </w:tc>
        <w:tc>
          <w:tcPr>
            <w:tcW w:w="1413" w:type="dxa"/>
          </w:tcPr>
          <w:p w14:paraId="007D634C" w14:textId="77777777" w:rsidR="00CB2FF5" w:rsidRPr="00F02ABE" w:rsidRDefault="00CB2FF5" w:rsidP="00242CBD">
            <w:pPr>
              <w:autoSpaceDE w:val="0"/>
              <w:autoSpaceDN w:val="0"/>
              <w:adjustRightInd w:val="0"/>
              <w:spacing w:after="0" w:line="240" w:lineRule="auto"/>
              <w:jc w:val="center"/>
              <w:rPr>
                <w:rFonts w:ascii="Times New Roman" w:hAnsi="Times New Roman"/>
                <w:b/>
                <w:bCs/>
                <w:sz w:val="24"/>
                <w:szCs w:val="24"/>
                <w:lang w:eastAsia="pt-BR"/>
              </w:rPr>
            </w:pPr>
            <w:r w:rsidRPr="00F02ABE">
              <w:rPr>
                <w:rFonts w:ascii="Times New Roman" w:hAnsi="Times New Roman"/>
                <w:b/>
                <w:bCs/>
                <w:sz w:val="24"/>
                <w:szCs w:val="24"/>
                <w:lang w:eastAsia="pt-BR"/>
              </w:rPr>
              <w:t>-</w:t>
            </w:r>
          </w:p>
        </w:tc>
      </w:tr>
    </w:tbl>
    <w:p w14:paraId="5745B95B" w14:textId="77777777" w:rsidR="00CB2FF5" w:rsidRPr="00F02ABE" w:rsidRDefault="00CB2FF5" w:rsidP="00CB2FF5">
      <w:pPr>
        <w:autoSpaceDE w:val="0"/>
        <w:autoSpaceDN w:val="0"/>
        <w:adjustRightInd w:val="0"/>
        <w:spacing w:after="0" w:line="240" w:lineRule="auto"/>
        <w:ind w:left="1701"/>
        <w:rPr>
          <w:rFonts w:ascii="Times New Roman" w:hAnsi="Times New Roman"/>
          <w:bCs/>
          <w:sz w:val="24"/>
          <w:szCs w:val="24"/>
          <w:lang w:eastAsia="pt-BR"/>
        </w:rPr>
      </w:pPr>
      <w:r w:rsidRPr="00F02ABE">
        <w:rPr>
          <w:rFonts w:ascii="Times New Roman" w:hAnsi="Times New Roman"/>
          <w:bCs/>
          <w:sz w:val="24"/>
          <w:szCs w:val="24"/>
          <w:lang w:eastAsia="pt-BR"/>
        </w:rPr>
        <w:t>Fonte: SIAFI, 202</w:t>
      </w:r>
      <w:r>
        <w:rPr>
          <w:rFonts w:ascii="Times New Roman" w:hAnsi="Times New Roman"/>
          <w:bCs/>
          <w:sz w:val="24"/>
          <w:szCs w:val="24"/>
          <w:lang w:eastAsia="pt-BR"/>
        </w:rPr>
        <w:t>4</w:t>
      </w:r>
      <w:r w:rsidRPr="00F02ABE">
        <w:rPr>
          <w:rFonts w:ascii="Times New Roman" w:hAnsi="Times New Roman"/>
          <w:bCs/>
          <w:sz w:val="24"/>
          <w:szCs w:val="24"/>
          <w:lang w:eastAsia="pt-BR"/>
        </w:rPr>
        <w:t xml:space="preserve"> e 202</w:t>
      </w:r>
      <w:r>
        <w:rPr>
          <w:rFonts w:ascii="Times New Roman" w:hAnsi="Times New Roman"/>
          <w:bCs/>
          <w:sz w:val="24"/>
          <w:szCs w:val="24"/>
          <w:lang w:eastAsia="pt-BR"/>
        </w:rPr>
        <w:t>3</w:t>
      </w:r>
      <w:r w:rsidRPr="00F02ABE">
        <w:rPr>
          <w:rFonts w:ascii="Times New Roman" w:hAnsi="Times New Roman"/>
          <w:bCs/>
          <w:sz w:val="24"/>
          <w:szCs w:val="24"/>
          <w:lang w:eastAsia="pt-BR"/>
        </w:rPr>
        <w:t>.</w:t>
      </w:r>
    </w:p>
    <w:p w14:paraId="788E7E98" w14:textId="77777777" w:rsidR="00227788" w:rsidRDefault="00227788" w:rsidP="00CB2FF5">
      <w:pPr>
        <w:pStyle w:val="Default"/>
        <w:ind w:left="1701"/>
        <w:jc w:val="both"/>
        <w:rPr>
          <w:b/>
          <w:bCs/>
        </w:rPr>
      </w:pPr>
    </w:p>
    <w:p w14:paraId="689DB552" w14:textId="1B2F16E8" w:rsidR="00CB2FF5" w:rsidRPr="00F02ABE" w:rsidRDefault="00CB2FF5" w:rsidP="00CB2FF5">
      <w:pPr>
        <w:pStyle w:val="Default"/>
        <w:ind w:left="1701"/>
        <w:jc w:val="both"/>
        <w:rPr>
          <w:b/>
          <w:bCs/>
        </w:rPr>
      </w:pPr>
      <w:r w:rsidRPr="00F02ABE">
        <w:rPr>
          <w:b/>
          <w:bCs/>
        </w:rPr>
        <w:t xml:space="preserve">8.2 Composição das Variações Patrimoniais Aumentativas </w:t>
      </w:r>
    </w:p>
    <w:p w14:paraId="0541EDB3" w14:textId="77777777" w:rsidR="00CB2FF5" w:rsidRPr="00F02ABE" w:rsidRDefault="00CB2FF5" w:rsidP="00CB2FF5">
      <w:pPr>
        <w:pStyle w:val="Default"/>
        <w:ind w:left="1701"/>
        <w:jc w:val="both"/>
      </w:pPr>
    </w:p>
    <w:p w14:paraId="04F82504" w14:textId="5427D90C" w:rsidR="00881206" w:rsidRDefault="00881206" w:rsidP="00881206">
      <w:pPr>
        <w:pStyle w:val="Default"/>
        <w:ind w:left="1701"/>
        <w:jc w:val="both"/>
      </w:pPr>
      <w:r w:rsidRPr="00F02ABE">
        <w:t xml:space="preserve">Das Variações Patrimoniais </w:t>
      </w:r>
      <w:r>
        <w:t>Aumentat</w:t>
      </w:r>
      <w:r w:rsidRPr="00F02ABE">
        <w:t xml:space="preserve">ivas, o item mais significativo está relacionado </w:t>
      </w:r>
      <w:r>
        <w:t xml:space="preserve">com o recebimento de </w:t>
      </w:r>
      <w:r w:rsidRPr="00F02ABE">
        <w:rPr>
          <w:b/>
        </w:rPr>
        <w:t>Transferências e Delegações Recebidas</w:t>
      </w:r>
      <w:r w:rsidRPr="00F02ABE">
        <w:t xml:space="preserve">, e o mesmo apresenta um </w:t>
      </w:r>
      <w:r>
        <w:t>a</w:t>
      </w:r>
      <w:r w:rsidRPr="00F02ABE">
        <w:t xml:space="preserve">créscimo de </w:t>
      </w:r>
      <w:r>
        <w:t>1</w:t>
      </w:r>
      <w:r w:rsidR="00227788">
        <w:t>2,04</w:t>
      </w:r>
      <w:r w:rsidRPr="00F02ABE">
        <w:t xml:space="preserve">% em relação ao </w:t>
      </w:r>
      <w:r>
        <w:t>mesmo período do exercício anterior</w:t>
      </w:r>
      <w:r w:rsidRPr="00F02ABE">
        <w:t xml:space="preserve">. No </w:t>
      </w:r>
      <w:r w:rsidR="00227788">
        <w:t>quarto</w:t>
      </w:r>
      <w:r>
        <w:t xml:space="preserve"> </w:t>
      </w:r>
      <w:r w:rsidRPr="00F02ABE">
        <w:t>trimestre de 202</w:t>
      </w:r>
      <w:r>
        <w:t>4</w:t>
      </w:r>
      <w:r w:rsidRPr="00F02ABE">
        <w:t xml:space="preserve"> totalizou </w:t>
      </w:r>
      <w:r w:rsidRPr="00E03D5C">
        <w:rPr>
          <w:b/>
          <w:bCs/>
        </w:rPr>
        <w:t>R$</w:t>
      </w:r>
      <w:r w:rsidRPr="00F02ABE">
        <w:t xml:space="preserve"> </w:t>
      </w:r>
      <w:r w:rsidR="00227788">
        <w:rPr>
          <w:b/>
          <w:bCs/>
        </w:rPr>
        <w:t xml:space="preserve">721.601.951,33 </w:t>
      </w:r>
      <w:r w:rsidRPr="00F02ABE">
        <w:t xml:space="preserve">e corresponde a </w:t>
      </w:r>
      <w:r>
        <w:t>98,</w:t>
      </w:r>
      <w:r w:rsidR="00247747">
        <w:t>6</w:t>
      </w:r>
      <w:r w:rsidR="00227788">
        <w:t>9</w:t>
      </w:r>
      <w:r w:rsidRPr="00F02ABE">
        <w:t xml:space="preserve">% das </w:t>
      </w:r>
      <w:proofErr w:type="spellStart"/>
      <w:r w:rsidRPr="00F02ABE">
        <w:t>VPD’s</w:t>
      </w:r>
      <w:proofErr w:type="spellEnd"/>
      <w:r w:rsidRPr="00F02ABE">
        <w:t xml:space="preserve">. </w:t>
      </w:r>
    </w:p>
    <w:p w14:paraId="74C2F90D" w14:textId="77777777" w:rsidR="00CB2FF5" w:rsidRDefault="00CB2FF5" w:rsidP="00CB2FF5">
      <w:pPr>
        <w:pStyle w:val="Default"/>
        <w:ind w:left="1701"/>
        <w:jc w:val="both"/>
      </w:pPr>
    </w:p>
    <w:p w14:paraId="76D96347" w14:textId="7037AC54" w:rsidR="00CB2FF5" w:rsidRDefault="00CB2FF5" w:rsidP="00CB2FF5">
      <w:pPr>
        <w:pStyle w:val="Default"/>
        <w:ind w:left="1701"/>
        <w:jc w:val="both"/>
        <w:rPr>
          <w:b/>
        </w:rPr>
      </w:pPr>
      <w:r>
        <w:rPr>
          <w:b/>
        </w:rPr>
        <w:t>T</w:t>
      </w:r>
      <w:r w:rsidRPr="00F02ABE">
        <w:rPr>
          <w:b/>
        </w:rPr>
        <w:t>abela 20 - Composição das Variações Patrimoniais Aumentativas</w:t>
      </w:r>
    </w:p>
    <w:p w14:paraId="0CC288DE" w14:textId="77777777" w:rsidR="00CB2FF5" w:rsidRPr="00F02ABE" w:rsidRDefault="00CB2FF5" w:rsidP="00CB2FF5">
      <w:pPr>
        <w:pStyle w:val="Default"/>
        <w:jc w:val="both"/>
      </w:pPr>
      <w:r>
        <w:t xml:space="preserve">                                                                                                                                                                                                                       R$ 1,00</w:t>
      </w:r>
      <w:r w:rsidRPr="00F02ABE">
        <w:t xml:space="preserve">                                                                                                                                                                                     </w:t>
      </w:r>
      <w:r>
        <w:t xml:space="preserve"> </w:t>
      </w:r>
      <w:r w:rsidRPr="00F02ABE">
        <w:t xml:space="preserve">                                     </w:t>
      </w:r>
      <w:r>
        <w:t xml:space="preserve"> </w:t>
      </w:r>
    </w:p>
    <w:tbl>
      <w:tblPr>
        <w:tblW w:w="12044"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843"/>
        <w:gridCol w:w="1843"/>
        <w:gridCol w:w="1276"/>
        <w:gridCol w:w="850"/>
      </w:tblGrid>
      <w:tr w:rsidR="007B5ADB" w:rsidRPr="00F02ABE" w14:paraId="3206F8AD" w14:textId="77777777" w:rsidTr="006F4431">
        <w:tc>
          <w:tcPr>
            <w:tcW w:w="6232" w:type="dxa"/>
          </w:tcPr>
          <w:p w14:paraId="1E0959AF" w14:textId="77777777" w:rsidR="007B5ADB" w:rsidRPr="00F02ABE" w:rsidRDefault="007B5ADB" w:rsidP="007B5ADB">
            <w:pPr>
              <w:pStyle w:val="Default"/>
              <w:jc w:val="both"/>
              <w:rPr>
                <w:b/>
              </w:rPr>
            </w:pPr>
            <w:r w:rsidRPr="00F02ABE">
              <w:rPr>
                <w:b/>
              </w:rPr>
              <w:t xml:space="preserve">Demonstração das Variações Patrimoniais </w:t>
            </w:r>
          </w:p>
        </w:tc>
        <w:tc>
          <w:tcPr>
            <w:tcW w:w="1843" w:type="dxa"/>
          </w:tcPr>
          <w:p w14:paraId="67C2486B" w14:textId="0A6FC24C" w:rsidR="007B5ADB" w:rsidRPr="00F02ABE" w:rsidRDefault="007B5ADB" w:rsidP="007B5ADB">
            <w:pPr>
              <w:pStyle w:val="Default"/>
              <w:jc w:val="right"/>
              <w:rPr>
                <w:b/>
              </w:rPr>
            </w:pPr>
            <w:r w:rsidRPr="00F02ABE">
              <w:rPr>
                <w:b/>
                <w:bCs/>
              </w:rPr>
              <w:t>3</w:t>
            </w:r>
            <w:r>
              <w:rPr>
                <w:b/>
                <w:bCs/>
              </w:rPr>
              <w:t>1</w:t>
            </w:r>
            <w:r w:rsidRPr="00F02ABE">
              <w:rPr>
                <w:b/>
                <w:bCs/>
              </w:rPr>
              <w:t>/</w:t>
            </w:r>
            <w:r>
              <w:rPr>
                <w:b/>
                <w:bCs/>
              </w:rPr>
              <w:t>12</w:t>
            </w:r>
            <w:r w:rsidRPr="00F02ABE">
              <w:rPr>
                <w:b/>
                <w:bCs/>
              </w:rPr>
              <w:t>/202</w:t>
            </w:r>
            <w:r>
              <w:rPr>
                <w:b/>
                <w:bCs/>
              </w:rPr>
              <w:t>4</w:t>
            </w:r>
          </w:p>
        </w:tc>
        <w:tc>
          <w:tcPr>
            <w:tcW w:w="1843" w:type="dxa"/>
          </w:tcPr>
          <w:p w14:paraId="23611367" w14:textId="782E0AEB" w:rsidR="007B5ADB" w:rsidRPr="00F02ABE" w:rsidRDefault="007B5ADB" w:rsidP="007B5ADB">
            <w:pPr>
              <w:pStyle w:val="Default"/>
              <w:jc w:val="right"/>
              <w:rPr>
                <w:b/>
              </w:rPr>
            </w:pPr>
            <w:r>
              <w:rPr>
                <w:b/>
                <w:bCs/>
              </w:rPr>
              <w:t>31/12</w:t>
            </w:r>
            <w:r w:rsidRPr="00F02ABE">
              <w:rPr>
                <w:b/>
                <w:bCs/>
              </w:rPr>
              <w:t>/202</w:t>
            </w:r>
            <w:r>
              <w:rPr>
                <w:b/>
                <w:bCs/>
              </w:rPr>
              <w:t>3</w:t>
            </w:r>
          </w:p>
        </w:tc>
        <w:tc>
          <w:tcPr>
            <w:tcW w:w="1276" w:type="dxa"/>
          </w:tcPr>
          <w:p w14:paraId="5E322AC9" w14:textId="77777777" w:rsidR="007B5ADB" w:rsidRPr="00F02ABE" w:rsidRDefault="007B5ADB" w:rsidP="007B5ADB">
            <w:pPr>
              <w:pStyle w:val="Default"/>
              <w:jc w:val="center"/>
              <w:rPr>
                <w:b/>
              </w:rPr>
            </w:pPr>
            <w:r w:rsidRPr="00F02ABE">
              <w:rPr>
                <w:b/>
              </w:rPr>
              <w:t>AH(%)</w:t>
            </w:r>
          </w:p>
        </w:tc>
        <w:tc>
          <w:tcPr>
            <w:tcW w:w="850" w:type="dxa"/>
          </w:tcPr>
          <w:p w14:paraId="45A04F17" w14:textId="77777777" w:rsidR="007B5ADB" w:rsidRPr="00360DC6" w:rsidRDefault="007B5ADB" w:rsidP="007B5ADB">
            <w:pPr>
              <w:pStyle w:val="Default"/>
              <w:jc w:val="center"/>
              <w:rPr>
                <w:b/>
                <w:sz w:val="20"/>
                <w:szCs w:val="20"/>
              </w:rPr>
            </w:pPr>
            <w:r w:rsidRPr="00360DC6">
              <w:rPr>
                <w:b/>
                <w:sz w:val="20"/>
                <w:szCs w:val="20"/>
              </w:rPr>
              <w:t>AV(%)</w:t>
            </w:r>
          </w:p>
        </w:tc>
      </w:tr>
      <w:tr w:rsidR="00CB2FF5" w:rsidRPr="00F02ABE" w14:paraId="56C746B1" w14:textId="77777777" w:rsidTr="006F4431">
        <w:tc>
          <w:tcPr>
            <w:tcW w:w="6232" w:type="dxa"/>
          </w:tcPr>
          <w:p w14:paraId="507EDE16" w14:textId="77777777" w:rsidR="00CB2FF5" w:rsidRPr="00F02ABE" w:rsidRDefault="00CB2FF5" w:rsidP="00242CBD">
            <w:pPr>
              <w:pStyle w:val="Default"/>
              <w:jc w:val="both"/>
              <w:rPr>
                <w:b/>
              </w:rPr>
            </w:pPr>
            <w:r w:rsidRPr="00F02ABE">
              <w:rPr>
                <w:b/>
              </w:rPr>
              <w:t>VARIAÇÕES PATRIMONIAIS AUMENTATIVAS</w:t>
            </w:r>
          </w:p>
        </w:tc>
        <w:tc>
          <w:tcPr>
            <w:tcW w:w="1843" w:type="dxa"/>
          </w:tcPr>
          <w:p w14:paraId="2E1AD8A5" w14:textId="62E3D992" w:rsidR="00CB2FF5" w:rsidRPr="00F02ABE" w:rsidRDefault="007B5ADB" w:rsidP="00242CBD">
            <w:pPr>
              <w:pStyle w:val="Default"/>
              <w:jc w:val="center"/>
              <w:rPr>
                <w:b/>
              </w:rPr>
            </w:pPr>
            <w:r>
              <w:rPr>
                <w:b/>
              </w:rPr>
              <w:t>731.172.204,31</w:t>
            </w:r>
          </w:p>
        </w:tc>
        <w:tc>
          <w:tcPr>
            <w:tcW w:w="1843" w:type="dxa"/>
          </w:tcPr>
          <w:p w14:paraId="56F605EF" w14:textId="6A152C2A" w:rsidR="00CB2FF5" w:rsidRPr="00F02ABE" w:rsidRDefault="007B5ADB" w:rsidP="00242CBD">
            <w:pPr>
              <w:pStyle w:val="Default"/>
              <w:jc w:val="center"/>
              <w:rPr>
                <w:b/>
              </w:rPr>
            </w:pPr>
            <w:r>
              <w:rPr>
                <w:b/>
              </w:rPr>
              <w:t>651.473.937,23</w:t>
            </w:r>
          </w:p>
        </w:tc>
        <w:tc>
          <w:tcPr>
            <w:tcW w:w="1276" w:type="dxa"/>
          </w:tcPr>
          <w:p w14:paraId="374E936B" w14:textId="6E7B37F7" w:rsidR="00CB2FF5" w:rsidRPr="00F02ABE" w:rsidRDefault="007B5ADB" w:rsidP="00242CBD">
            <w:pPr>
              <w:pStyle w:val="Default"/>
              <w:jc w:val="center"/>
              <w:rPr>
                <w:b/>
              </w:rPr>
            </w:pPr>
            <w:r>
              <w:rPr>
                <w:b/>
              </w:rPr>
              <w:t>12,23</w:t>
            </w:r>
          </w:p>
        </w:tc>
        <w:tc>
          <w:tcPr>
            <w:tcW w:w="850" w:type="dxa"/>
          </w:tcPr>
          <w:p w14:paraId="5C7A316F" w14:textId="1B4472DB" w:rsidR="00CB2FF5" w:rsidRPr="00360DC6" w:rsidRDefault="007B5ADB" w:rsidP="00242CBD">
            <w:pPr>
              <w:pStyle w:val="Default"/>
              <w:jc w:val="center"/>
              <w:rPr>
                <w:b/>
              </w:rPr>
            </w:pPr>
            <w:r>
              <w:rPr>
                <w:b/>
              </w:rPr>
              <w:t>100</w:t>
            </w:r>
          </w:p>
        </w:tc>
      </w:tr>
      <w:tr w:rsidR="00CB2FF5" w:rsidRPr="00F02ABE" w14:paraId="2DE08854" w14:textId="77777777" w:rsidTr="006F4431">
        <w:tc>
          <w:tcPr>
            <w:tcW w:w="6232" w:type="dxa"/>
          </w:tcPr>
          <w:p w14:paraId="35EFC633" w14:textId="77777777" w:rsidR="00CB2FF5" w:rsidRPr="00F02ABE" w:rsidRDefault="00CB2FF5" w:rsidP="00242CBD">
            <w:pPr>
              <w:pStyle w:val="Default"/>
              <w:jc w:val="both"/>
            </w:pPr>
            <w:r w:rsidRPr="00F02ABE">
              <w:t>Exploração e Vendas de Bens, Serviços e Direitos</w:t>
            </w:r>
          </w:p>
        </w:tc>
        <w:tc>
          <w:tcPr>
            <w:tcW w:w="1843" w:type="dxa"/>
          </w:tcPr>
          <w:p w14:paraId="4A935A75" w14:textId="65A4F687" w:rsidR="00CB2FF5" w:rsidRPr="00F02ABE" w:rsidRDefault="007B5ADB" w:rsidP="00242CBD">
            <w:pPr>
              <w:pStyle w:val="Default"/>
              <w:jc w:val="right"/>
            </w:pPr>
            <w:r>
              <w:t>666.359,03</w:t>
            </w:r>
          </w:p>
        </w:tc>
        <w:tc>
          <w:tcPr>
            <w:tcW w:w="1843" w:type="dxa"/>
          </w:tcPr>
          <w:p w14:paraId="120222BB" w14:textId="43B77A9C" w:rsidR="00CB2FF5" w:rsidRPr="00F02ABE" w:rsidRDefault="007B5ADB" w:rsidP="00242CBD">
            <w:pPr>
              <w:pStyle w:val="Default"/>
              <w:jc w:val="right"/>
            </w:pPr>
            <w:r>
              <w:t>832.977,94</w:t>
            </w:r>
          </w:p>
        </w:tc>
        <w:tc>
          <w:tcPr>
            <w:tcW w:w="1276" w:type="dxa"/>
          </w:tcPr>
          <w:p w14:paraId="76FB2CCF" w14:textId="1617F798" w:rsidR="00CB2FF5" w:rsidRPr="00F02ABE" w:rsidRDefault="007B5ADB" w:rsidP="00242CBD">
            <w:pPr>
              <w:pStyle w:val="Default"/>
              <w:jc w:val="center"/>
            </w:pPr>
            <w:r>
              <w:t>-20,00</w:t>
            </w:r>
          </w:p>
        </w:tc>
        <w:tc>
          <w:tcPr>
            <w:tcW w:w="850" w:type="dxa"/>
          </w:tcPr>
          <w:p w14:paraId="1CF2E8FA" w14:textId="74CD95A4" w:rsidR="00CB2FF5" w:rsidRPr="00F02ABE" w:rsidRDefault="007B5ADB" w:rsidP="00242CBD">
            <w:pPr>
              <w:pStyle w:val="Default"/>
              <w:jc w:val="center"/>
            </w:pPr>
            <w:r>
              <w:t>0,09</w:t>
            </w:r>
          </w:p>
        </w:tc>
      </w:tr>
      <w:tr w:rsidR="00CB2FF5" w:rsidRPr="00F02ABE" w14:paraId="2B7972DC" w14:textId="77777777" w:rsidTr="006F4431">
        <w:tc>
          <w:tcPr>
            <w:tcW w:w="6232" w:type="dxa"/>
          </w:tcPr>
          <w:p w14:paraId="19DAB943" w14:textId="77777777" w:rsidR="00CB2FF5" w:rsidRPr="00F02ABE" w:rsidRDefault="00CB2FF5" w:rsidP="00242CBD">
            <w:pPr>
              <w:pStyle w:val="Default"/>
              <w:jc w:val="both"/>
            </w:pPr>
            <w:r w:rsidRPr="00F02ABE">
              <w:t>Variações Patrimoniais Aumentativas Financeiras</w:t>
            </w:r>
          </w:p>
        </w:tc>
        <w:tc>
          <w:tcPr>
            <w:tcW w:w="1843" w:type="dxa"/>
          </w:tcPr>
          <w:p w14:paraId="77020266" w14:textId="3C0D7E41" w:rsidR="00CB2FF5" w:rsidRPr="00F02ABE" w:rsidRDefault="007B5ADB" w:rsidP="00242CBD">
            <w:pPr>
              <w:pStyle w:val="Default"/>
              <w:jc w:val="right"/>
            </w:pPr>
            <w:r>
              <w:t>660,90</w:t>
            </w:r>
          </w:p>
        </w:tc>
        <w:tc>
          <w:tcPr>
            <w:tcW w:w="1843" w:type="dxa"/>
          </w:tcPr>
          <w:p w14:paraId="2322F2B3" w14:textId="04671646" w:rsidR="00CB2FF5" w:rsidRPr="00F02ABE" w:rsidRDefault="007B5ADB" w:rsidP="00242CBD">
            <w:pPr>
              <w:pStyle w:val="Default"/>
              <w:jc w:val="right"/>
            </w:pPr>
            <w:r>
              <w:t>11,39</w:t>
            </w:r>
          </w:p>
        </w:tc>
        <w:tc>
          <w:tcPr>
            <w:tcW w:w="1276" w:type="dxa"/>
          </w:tcPr>
          <w:p w14:paraId="0EC58962" w14:textId="244DE3B1" w:rsidR="00CB2FF5" w:rsidRPr="00F02ABE" w:rsidRDefault="007B5ADB" w:rsidP="00242CBD">
            <w:pPr>
              <w:pStyle w:val="Default"/>
              <w:jc w:val="center"/>
            </w:pPr>
            <w:r>
              <w:t>5.702,46</w:t>
            </w:r>
          </w:p>
        </w:tc>
        <w:tc>
          <w:tcPr>
            <w:tcW w:w="850" w:type="dxa"/>
          </w:tcPr>
          <w:p w14:paraId="4B342B99" w14:textId="2D732451" w:rsidR="00CB2FF5" w:rsidRPr="00F02ABE" w:rsidRDefault="007B5ADB" w:rsidP="00242CBD">
            <w:pPr>
              <w:pStyle w:val="Default"/>
              <w:jc w:val="center"/>
            </w:pPr>
            <w:r>
              <w:t>0,00</w:t>
            </w:r>
          </w:p>
        </w:tc>
      </w:tr>
      <w:tr w:rsidR="00CB2FF5" w:rsidRPr="00F02ABE" w14:paraId="26C2B2A3" w14:textId="77777777" w:rsidTr="006F4431">
        <w:tc>
          <w:tcPr>
            <w:tcW w:w="6232" w:type="dxa"/>
          </w:tcPr>
          <w:p w14:paraId="6D383970" w14:textId="77777777" w:rsidR="00CB2FF5" w:rsidRPr="00F02ABE" w:rsidRDefault="00CB2FF5" w:rsidP="00242CBD">
            <w:pPr>
              <w:pStyle w:val="Default"/>
              <w:jc w:val="both"/>
              <w:rPr>
                <w:b/>
              </w:rPr>
            </w:pPr>
            <w:r w:rsidRPr="00F02ABE">
              <w:rPr>
                <w:b/>
              </w:rPr>
              <w:t>Transferências e Delegações Recebidas</w:t>
            </w:r>
          </w:p>
        </w:tc>
        <w:tc>
          <w:tcPr>
            <w:tcW w:w="1843" w:type="dxa"/>
          </w:tcPr>
          <w:p w14:paraId="21005D86" w14:textId="5FAC21B5" w:rsidR="00CB2FF5" w:rsidRPr="00B6383D" w:rsidRDefault="007B5ADB" w:rsidP="00242CBD">
            <w:pPr>
              <w:pStyle w:val="Default"/>
              <w:jc w:val="right"/>
              <w:rPr>
                <w:b/>
                <w:bCs/>
              </w:rPr>
            </w:pPr>
            <w:r>
              <w:rPr>
                <w:b/>
                <w:bCs/>
              </w:rPr>
              <w:t>721.601.951,33</w:t>
            </w:r>
          </w:p>
        </w:tc>
        <w:tc>
          <w:tcPr>
            <w:tcW w:w="1843" w:type="dxa"/>
          </w:tcPr>
          <w:p w14:paraId="26109D72" w14:textId="75D09C4D" w:rsidR="00CB2FF5" w:rsidRPr="00B6383D" w:rsidRDefault="007B5ADB" w:rsidP="00242CBD">
            <w:pPr>
              <w:pStyle w:val="Default"/>
              <w:jc w:val="right"/>
              <w:rPr>
                <w:b/>
                <w:bCs/>
              </w:rPr>
            </w:pPr>
            <w:r>
              <w:rPr>
                <w:b/>
                <w:bCs/>
              </w:rPr>
              <w:t>644.073.751,72</w:t>
            </w:r>
          </w:p>
        </w:tc>
        <w:tc>
          <w:tcPr>
            <w:tcW w:w="1276" w:type="dxa"/>
          </w:tcPr>
          <w:p w14:paraId="6674E7FE" w14:textId="78B9C167" w:rsidR="00CB2FF5" w:rsidRPr="00B6383D" w:rsidRDefault="007B5ADB" w:rsidP="00242CBD">
            <w:pPr>
              <w:pStyle w:val="Default"/>
              <w:jc w:val="center"/>
              <w:rPr>
                <w:b/>
                <w:bCs/>
              </w:rPr>
            </w:pPr>
            <w:r>
              <w:rPr>
                <w:b/>
                <w:bCs/>
              </w:rPr>
              <w:t>12,04</w:t>
            </w:r>
          </w:p>
        </w:tc>
        <w:tc>
          <w:tcPr>
            <w:tcW w:w="850" w:type="dxa"/>
          </w:tcPr>
          <w:p w14:paraId="2DF4E35A" w14:textId="3E45311D" w:rsidR="00CB2FF5" w:rsidRPr="00B6383D" w:rsidRDefault="007B5ADB" w:rsidP="00242CBD">
            <w:pPr>
              <w:pStyle w:val="Default"/>
              <w:jc w:val="center"/>
              <w:rPr>
                <w:b/>
                <w:bCs/>
              </w:rPr>
            </w:pPr>
            <w:r>
              <w:rPr>
                <w:b/>
                <w:bCs/>
              </w:rPr>
              <w:t>98,69</w:t>
            </w:r>
          </w:p>
        </w:tc>
      </w:tr>
      <w:tr w:rsidR="00CB2FF5" w:rsidRPr="00F02ABE" w14:paraId="04353CF1" w14:textId="77777777" w:rsidTr="006F4431">
        <w:tc>
          <w:tcPr>
            <w:tcW w:w="6232" w:type="dxa"/>
          </w:tcPr>
          <w:p w14:paraId="164BE0DF" w14:textId="77777777" w:rsidR="00CB2FF5" w:rsidRPr="00F02ABE" w:rsidRDefault="00CB2FF5" w:rsidP="00242CBD">
            <w:pPr>
              <w:pStyle w:val="Default"/>
              <w:jc w:val="both"/>
            </w:pPr>
            <w:r w:rsidRPr="00F02ABE">
              <w:t>Valorização e Ganhos c/ Ativos e Desincorporação de Passivos</w:t>
            </w:r>
          </w:p>
        </w:tc>
        <w:tc>
          <w:tcPr>
            <w:tcW w:w="1843" w:type="dxa"/>
          </w:tcPr>
          <w:p w14:paraId="77FE93B0" w14:textId="3A594344" w:rsidR="00CB2FF5" w:rsidRPr="00F02ABE" w:rsidRDefault="007B5ADB" w:rsidP="00242CBD">
            <w:pPr>
              <w:pStyle w:val="Default"/>
              <w:jc w:val="right"/>
            </w:pPr>
            <w:r>
              <w:t>8.546.556,43</w:t>
            </w:r>
          </w:p>
        </w:tc>
        <w:tc>
          <w:tcPr>
            <w:tcW w:w="1843" w:type="dxa"/>
          </w:tcPr>
          <w:p w14:paraId="7C74CE7B" w14:textId="15C754FE" w:rsidR="00CB2FF5" w:rsidRPr="00F02ABE" w:rsidRDefault="007B5ADB" w:rsidP="00242CBD">
            <w:pPr>
              <w:pStyle w:val="Default"/>
              <w:jc w:val="right"/>
            </w:pPr>
            <w:r>
              <w:t>6.358.864,86</w:t>
            </w:r>
          </w:p>
        </w:tc>
        <w:tc>
          <w:tcPr>
            <w:tcW w:w="1276" w:type="dxa"/>
          </w:tcPr>
          <w:p w14:paraId="28223527" w14:textId="26F84D1D" w:rsidR="00CB2FF5" w:rsidRPr="00F02ABE" w:rsidRDefault="007B5ADB" w:rsidP="00242CBD">
            <w:pPr>
              <w:pStyle w:val="Default"/>
              <w:jc w:val="center"/>
            </w:pPr>
            <w:r>
              <w:t>34,40</w:t>
            </w:r>
          </w:p>
        </w:tc>
        <w:tc>
          <w:tcPr>
            <w:tcW w:w="850" w:type="dxa"/>
          </w:tcPr>
          <w:p w14:paraId="435DE55F" w14:textId="42D22648" w:rsidR="00CB2FF5" w:rsidRPr="00F02ABE" w:rsidRDefault="007B5ADB" w:rsidP="00242CBD">
            <w:pPr>
              <w:pStyle w:val="Default"/>
              <w:jc w:val="center"/>
            </w:pPr>
            <w:r>
              <w:t>1,17</w:t>
            </w:r>
          </w:p>
        </w:tc>
      </w:tr>
      <w:tr w:rsidR="00CB2FF5" w:rsidRPr="00F02ABE" w14:paraId="547DCAA4" w14:textId="77777777" w:rsidTr="006F4431">
        <w:tc>
          <w:tcPr>
            <w:tcW w:w="6232" w:type="dxa"/>
          </w:tcPr>
          <w:p w14:paraId="096F8B59" w14:textId="77777777" w:rsidR="00CB2FF5" w:rsidRPr="00F02ABE" w:rsidRDefault="00CB2FF5" w:rsidP="00242CBD">
            <w:pPr>
              <w:pStyle w:val="Default"/>
              <w:jc w:val="both"/>
            </w:pPr>
            <w:r w:rsidRPr="00F02ABE">
              <w:t>Outras Variações Patrimoniais Aumentativas</w:t>
            </w:r>
          </w:p>
        </w:tc>
        <w:tc>
          <w:tcPr>
            <w:tcW w:w="1843" w:type="dxa"/>
          </w:tcPr>
          <w:p w14:paraId="174185BD" w14:textId="56EAD6B2" w:rsidR="00CB2FF5" w:rsidRPr="00F02ABE" w:rsidRDefault="007B5ADB" w:rsidP="00242CBD">
            <w:pPr>
              <w:pStyle w:val="Default"/>
              <w:jc w:val="right"/>
            </w:pPr>
            <w:r>
              <w:t>356.676,62</w:t>
            </w:r>
          </w:p>
        </w:tc>
        <w:tc>
          <w:tcPr>
            <w:tcW w:w="1843" w:type="dxa"/>
          </w:tcPr>
          <w:p w14:paraId="47B4642C" w14:textId="50E13C53" w:rsidR="00CB2FF5" w:rsidRPr="00F02ABE" w:rsidRDefault="007B5ADB" w:rsidP="00242CBD">
            <w:pPr>
              <w:pStyle w:val="Default"/>
              <w:jc w:val="right"/>
            </w:pPr>
            <w:r>
              <w:t>208.331,32</w:t>
            </w:r>
          </w:p>
        </w:tc>
        <w:tc>
          <w:tcPr>
            <w:tcW w:w="1276" w:type="dxa"/>
          </w:tcPr>
          <w:p w14:paraId="6E73D4E2" w14:textId="111513DA" w:rsidR="00CB2FF5" w:rsidRPr="00F02ABE" w:rsidRDefault="007B5ADB" w:rsidP="00242CBD">
            <w:pPr>
              <w:pStyle w:val="Default"/>
              <w:jc w:val="center"/>
            </w:pPr>
            <w:r>
              <w:t>71,21</w:t>
            </w:r>
          </w:p>
        </w:tc>
        <w:tc>
          <w:tcPr>
            <w:tcW w:w="850" w:type="dxa"/>
          </w:tcPr>
          <w:p w14:paraId="6CBAC754" w14:textId="0499CD46" w:rsidR="00CB2FF5" w:rsidRPr="00F02ABE" w:rsidRDefault="007B5ADB" w:rsidP="00242CBD">
            <w:pPr>
              <w:pStyle w:val="Default"/>
              <w:jc w:val="center"/>
            </w:pPr>
            <w:r>
              <w:t>0,05</w:t>
            </w:r>
          </w:p>
        </w:tc>
      </w:tr>
    </w:tbl>
    <w:p w14:paraId="78D3C96B" w14:textId="77777777" w:rsidR="00CB2FF5" w:rsidRPr="00695635" w:rsidRDefault="00CB2FF5" w:rsidP="00CB2FF5">
      <w:pPr>
        <w:autoSpaceDE w:val="0"/>
        <w:autoSpaceDN w:val="0"/>
        <w:adjustRightInd w:val="0"/>
        <w:spacing w:after="0" w:line="240" w:lineRule="auto"/>
        <w:ind w:left="1701"/>
        <w:rPr>
          <w:rFonts w:ascii="Times New Roman" w:hAnsi="Times New Roman"/>
          <w:bCs/>
          <w:sz w:val="20"/>
          <w:szCs w:val="20"/>
          <w:lang w:eastAsia="pt-BR"/>
        </w:rPr>
      </w:pPr>
      <w:r w:rsidRPr="00695635">
        <w:rPr>
          <w:rFonts w:ascii="Times New Roman" w:hAnsi="Times New Roman"/>
          <w:bCs/>
          <w:sz w:val="20"/>
          <w:szCs w:val="20"/>
          <w:lang w:eastAsia="pt-BR"/>
        </w:rPr>
        <w:t>Fonte: SIAFI, 2024 e 2023.</w:t>
      </w:r>
    </w:p>
    <w:p w14:paraId="76184FC8" w14:textId="62583D61" w:rsidR="00CB2FF5" w:rsidRPr="00F02ABE" w:rsidRDefault="00CB2FF5" w:rsidP="00CB2FF5">
      <w:pPr>
        <w:pStyle w:val="Default"/>
        <w:ind w:left="1701"/>
        <w:jc w:val="both"/>
      </w:pPr>
      <w:r w:rsidRPr="00F02ABE">
        <w:lastRenderedPageBreak/>
        <w:t xml:space="preserve">Das Variações Patrimoniais Diminutivas, o item mais significativo está relacionado </w:t>
      </w:r>
      <w:r>
        <w:t xml:space="preserve">com o </w:t>
      </w:r>
      <w:r w:rsidRPr="00F02ABE">
        <w:t xml:space="preserve">pagamento de despesas com </w:t>
      </w:r>
      <w:r w:rsidRPr="00F02ABE">
        <w:rPr>
          <w:b/>
          <w:bCs/>
        </w:rPr>
        <w:t>Pessoal e Encargos</w:t>
      </w:r>
      <w:r w:rsidRPr="00F02ABE">
        <w:t xml:space="preserve">, e o mesmo apresenta um </w:t>
      </w:r>
      <w:r>
        <w:t>a</w:t>
      </w:r>
      <w:r w:rsidRPr="00F02ABE">
        <w:t xml:space="preserve">créscimo de </w:t>
      </w:r>
      <w:r w:rsidR="00AD6FF9">
        <w:t>9,30</w:t>
      </w:r>
      <w:r w:rsidRPr="00F02ABE">
        <w:t xml:space="preserve">% em relação ao exercício anterior. No </w:t>
      </w:r>
      <w:r w:rsidR="00AD6FF9">
        <w:t xml:space="preserve">quarto </w:t>
      </w:r>
      <w:r w:rsidRPr="00F02ABE">
        <w:t>trimestre de 202</w:t>
      </w:r>
      <w:r w:rsidR="00A6522D">
        <w:t>4</w:t>
      </w:r>
      <w:r w:rsidRPr="00F02ABE">
        <w:t xml:space="preserve"> totalizou </w:t>
      </w:r>
      <w:r w:rsidRPr="00E03D5C">
        <w:rPr>
          <w:b/>
          <w:bCs/>
        </w:rPr>
        <w:t>R$</w:t>
      </w:r>
      <w:r w:rsidRPr="00F02ABE">
        <w:t xml:space="preserve"> </w:t>
      </w:r>
      <w:r w:rsidR="00AD6FF9">
        <w:rPr>
          <w:b/>
          <w:bCs/>
        </w:rPr>
        <w:t>500.882.860,54</w:t>
      </w:r>
      <w:r w:rsidRPr="00F02ABE">
        <w:t xml:space="preserve">, e corresponde a </w:t>
      </w:r>
      <w:r>
        <w:t>6</w:t>
      </w:r>
      <w:r w:rsidR="00A6522D">
        <w:t>6,</w:t>
      </w:r>
      <w:r w:rsidR="00AD6FF9">
        <w:t>10</w:t>
      </w:r>
      <w:r w:rsidRPr="00F02ABE">
        <w:t xml:space="preserve">% das </w:t>
      </w:r>
      <w:proofErr w:type="spellStart"/>
      <w:r w:rsidRPr="00F02ABE">
        <w:t>VPD’s</w:t>
      </w:r>
      <w:proofErr w:type="spellEnd"/>
      <w:r w:rsidRPr="00F02ABE">
        <w:t xml:space="preserve">. </w:t>
      </w:r>
    </w:p>
    <w:p w14:paraId="1DB9904A" w14:textId="77777777" w:rsidR="00CB2FF5" w:rsidRPr="00F02ABE" w:rsidRDefault="00CB2FF5" w:rsidP="00CB2FF5">
      <w:pPr>
        <w:pStyle w:val="Default"/>
        <w:ind w:left="1701"/>
        <w:jc w:val="both"/>
        <w:rPr>
          <w:b/>
        </w:rPr>
      </w:pPr>
    </w:p>
    <w:p w14:paraId="470FEF46" w14:textId="2A763F3A" w:rsidR="00906EDC" w:rsidRDefault="00CB2FF5" w:rsidP="00CB2FF5">
      <w:pPr>
        <w:pStyle w:val="Default"/>
        <w:ind w:left="1701"/>
        <w:jc w:val="both"/>
        <w:rPr>
          <w:b/>
        </w:rPr>
      </w:pPr>
      <w:r w:rsidRPr="00F02ABE">
        <w:rPr>
          <w:b/>
        </w:rPr>
        <w:t>Tabela 21 - Composição das Variações Patrimoniais Diminutivas</w:t>
      </w:r>
    </w:p>
    <w:p w14:paraId="406C90B7" w14:textId="112AF11E" w:rsidR="00CB2FF5" w:rsidRPr="00F02ABE" w:rsidRDefault="00CB2FF5" w:rsidP="00CB2FF5">
      <w:pPr>
        <w:pStyle w:val="Default"/>
        <w:ind w:left="1701"/>
        <w:jc w:val="both"/>
      </w:pPr>
      <w:r w:rsidRPr="00F02ABE">
        <w:t xml:space="preserve">                                                                                                                                                                                                                                 </w:t>
      </w:r>
      <w:r>
        <w:t xml:space="preserve">         </w:t>
      </w:r>
      <w:r>
        <w:tab/>
        <w:t xml:space="preserve">                              </w:t>
      </w:r>
      <w:r>
        <w:tab/>
      </w:r>
      <w:r>
        <w:tab/>
      </w:r>
      <w:r>
        <w:tab/>
      </w:r>
      <w:r>
        <w:tab/>
      </w:r>
      <w:r>
        <w:tab/>
      </w:r>
      <w:r>
        <w:tab/>
      </w:r>
      <w:r>
        <w:tab/>
      </w:r>
      <w:r>
        <w:tab/>
      </w:r>
      <w:r>
        <w:tab/>
      </w:r>
      <w:r>
        <w:tab/>
      </w:r>
      <w:r>
        <w:tab/>
        <w:t xml:space="preserve">              </w:t>
      </w:r>
    </w:p>
    <w:tbl>
      <w:tblPr>
        <w:tblW w:w="12469" w:type="dxa"/>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963"/>
        <w:gridCol w:w="1723"/>
        <w:gridCol w:w="1276"/>
        <w:gridCol w:w="1275"/>
      </w:tblGrid>
      <w:tr w:rsidR="00227788" w:rsidRPr="00F02ABE" w14:paraId="029F56EC" w14:textId="77777777" w:rsidTr="00242CBD">
        <w:tc>
          <w:tcPr>
            <w:tcW w:w="6232" w:type="dxa"/>
          </w:tcPr>
          <w:p w14:paraId="1FF89652" w14:textId="77777777" w:rsidR="00227788" w:rsidRPr="00F02ABE" w:rsidRDefault="00227788" w:rsidP="00227788">
            <w:pPr>
              <w:pStyle w:val="Default"/>
              <w:jc w:val="both"/>
              <w:rPr>
                <w:b/>
              </w:rPr>
            </w:pPr>
            <w:r w:rsidRPr="00F02ABE">
              <w:rPr>
                <w:b/>
              </w:rPr>
              <w:t>Demonstração das Variações Patrimoniais</w:t>
            </w:r>
          </w:p>
        </w:tc>
        <w:tc>
          <w:tcPr>
            <w:tcW w:w="1963" w:type="dxa"/>
          </w:tcPr>
          <w:p w14:paraId="1EAB9977" w14:textId="3D0F43EA" w:rsidR="00227788" w:rsidRPr="00F02ABE" w:rsidRDefault="00227788" w:rsidP="00227788">
            <w:pPr>
              <w:pStyle w:val="Default"/>
              <w:jc w:val="right"/>
              <w:rPr>
                <w:b/>
              </w:rPr>
            </w:pPr>
            <w:r w:rsidRPr="00F02ABE">
              <w:rPr>
                <w:b/>
                <w:bCs/>
              </w:rPr>
              <w:t>3</w:t>
            </w:r>
            <w:r>
              <w:rPr>
                <w:b/>
                <w:bCs/>
              </w:rPr>
              <w:t>1</w:t>
            </w:r>
            <w:r w:rsidRPr="00F02ABE">
              <w:rPr>
                <w:b/>
                <w:bCs/>
              </w:rPr>
              <w:t>/</w:t>
            </w:r>
            <w:r>
              <w:rPr>
                <w:b/>
                <w:bCs/>
              </w:rPr>
              <w:t>12</w:t>
            </w:r>
            <w:r w:rsidRPr="00F02ABE">
              <w:rPr>
                <w:b/>
                <w:bCs/>
              </w:rPr>
              <w:t>/202</w:t>
            </w:r>
            <w:r>
              <w:rPr>
                <w:b/>
                <w:bCs/>
              </w:rPr>
              <w:t>4</w:t>
            </w:r>
          </w:p>
        </w:tc>
        <w:tc>
          <w:tcPr>
            <w:tcW w:w="1723" w:type="dxa"/>
          </w:tcPr>
          <w:p w14:paraId="382B1D42" w14:textId="4806930F" w:rsidR="00227788" w:rsidRPr="00F02ABE" w:rsidRDefault="00227788" w:rsidP="00227788">
            <w:pPr>
              <w:pStyle w:val="Default"/>
              <w:jc w:val="right"/>
              <w:rPr>
                <w:b/>
              </w:rPr>
            </w:pPr>
            <w:r>
              <w:rPr>
                <w:b/>
                <w:bCs/>
              </w:rPr>
              <w:t>31/12</w:t>
            </w:r>
            <w:r w:rsidRPr="00F02ABE">
              <w:rPr>
                <w:b/>
                <w:bCs/>
              </w:rPr>
              <w:t>/202</w:t>
            </w:r>
            <w:r>
              <w:rPr>
                <w:b/>
                <w:bCs/>
              </w:rPr>
              <w:t>3</w:t>
            </w:r>
          </w:p>
        </w:tc>
        <w:tc>
          <w:tcPr>
            <w:tcW w:w="1276" w:type="dxa"/>
          </w:tcPr>
          <w:p w14:paraId="690E3B33" w14:textId="77777777" w:rsidR="00227788" w:rsidRPr="00F02ABE" w:rsidRDefault="00227788" w:rsidP="00227788">
            <w:pPr>
              <w:pStyle w:val="Default"/>
              <w:jc w:val="center"/>
              <w:rPr>
                <w:b/>
              </w:rPr>
            </w:pPr>
            <w:r w:rsidRPr="00F02ABE">
              <w:rPr>
                <w:b/>
              </w:rPr>
              <w:t>AH(%)</w:t>
            </w:r>
          </w:p>
        </w:tc>
        <w:tc>
          <w:tcPr>
            <w:tcW w:w="1275" w:type="dxa"/>
          </w:tcPr>
          <w:p w14:paraId="620205A4" w14:textId="77777777" w:rsidR="00227788" w:rsidRPr="00F02ABE" w:rsidRDefault="00227788" w:rsidP="00227788">
            <w:pPr>
              <w:pStyle w:val="Default"/>
              <w:jc w:val="center"/>
              <w:rPr>
                <w:b/>
              </w:rPr>
            </w:pPr>
            <w:r w:rsidRPr="00F02ABE">
              <w:rPr>
                <w:b/>
              </w:rPr>
              <w:t>AV(%)</w:t>
            </w:r>
          </w:p>
        </w:tc>
      </w:tr>
      <w:tr w:rsidR="00CB2FF5" w:rsidRPr="00F02ABE" w14:paraId="0A43651B" w14:textId="77777777" w:rsidTr="00242CBD">
        <w:tc>
          <w:tcPr>
            <w:tcW w:w="6232" w:type="dxa"/>
          </w:tcPr>
          <w:p w14:paraId="35D65641" w14:textId="77777777" w:rsidR="00CB2FF5" w:rsidRPr="00F02ABE" w:rsidRDefault="00CB2FF5" w:rsidP="00242CBD">
            <w:pPr>
              <w:pStyle w:val="Default"/>
              <w:jc w:val="both"/>
              <w:rPr>
                <w:b/>
              </w:rPr>
            </w:pPr>
            <w:r w:rsidRPr="00F02ABE">
              <w:rPr>
                <w:b/>
              </w:rPr>
              <w:t>VARIAÇÕES PATRIMONIAIS DIMINUTIVAS</w:t>
            </w:r>
          </w:p>
        </w:tc>
        <w:tc>
          <w:tcPr>
            <w:tcW w:w="1963" w:type="dxa"/>
          </w:tcPr>
          <w:p w14:paraId="7AB7D022" w14:textId="5B52C26C" w:rsidR="00CB2FF5" w:rsidRPr="00F02ABE" w:rsidRDefault="00227788" w:rsidP="00242CBD">
            <w:pPr>
              <w:pStyle w:val="Default"/>
              <w:jc w:val="right"/>
              <w:rPr>
                <w:b/>
              </w:rPr>
            </w:pPr>
            <w:r>
              <w:rPr>
                <w:b/>
              </w:rPr>
              <w:t>757.734.723,76</w:t>
            </w:r>
          </w:p>
        </w:tc>
        <w:tc>
          <w:tcPr>
            <w:tcW w:w="1723" w:type="dxa"/>
          </w:tcPr>
          <w:p w14:paraId="78B894FF" w14:textId="4D27D38A" w:rsidR="00CB2FF5" w:rsidRPr="00F02ABE" w:rsidRDefault="00227788" w:rsidP="00242CBD">
            <w:pPr>
              <w:pStyle w:val="Default"/>
              <w:jc w:val="right"/>
              <w:rPr>
                <w:b/>
              </w:rPr>
            </w:pPr>
            <w:r>
              <w:rPr>
                <w:b/>
              </w:rPr>
              <w:t>676.058.324,57</w:t>
            </w:r>
          </w:p>
        </w:tc>
        <w:tc>
          <w:tcPr>
            <w:tcW w:w="1276" w:type="dxa"/>
          </w:tcPr>
          <w:p w14:paraId="5C38E329" w14:textId="487D9DA8" w:rsidR="00CB2FF5" w:rsidRPr="00F02ABE" w:rsidRDefault="00227788" w:rsidP="00242CBD">
            <w:pPr>
              <w:pStyle w:val="Default"/>
              <w:jc w:val="center"/>
              <w:rPr>
                <w:b/>
              </w:rPr>
            </w:pPr>
            <w:r>
              <w:rPr>
                <w:b/>
              </w:rPr>
              <w:t>12,08</w:t>
            </w:r>
          </w:p>
        </w:tc>
        <w:tc>
          <w:tcPr>
            <w:tcW w:w="1275" w:type="dxa"/>
          </w:tcPr>
          <w:p w14:paraId="0D6F84B9" w14:textId="6E5E3771" w:rsidR="00CB2FF5" w:rsidRPr="00F02ABE" w:rsidRDefault="00227788" w:rsidP="00242CBD">
            <w:pPr>
              <w:pStyle w:val="Default"/>
              <w:jc w:val="center"/>
              <w:rPr>
                <w:b/>
              </w:rPr>
            </w:pPr>
            <w:r>
              <w:rPr>
                <w:b/>
              </w:rPr>
              <w:t>100</w:t>
            </w:r>
          </w:p>
        </w:tc>
      </w:tr>
      <w:tr w:rsidR="00CB2FF5" w:rsidRPr="00F02ABE" w14:paraId="77A8F285" w14:textId="77777777" w:rsidTr="00242CBD">
        <w:tc>
          <w:tcPr>
            <w:tcW w:w="6232" w:type="dxa"/>
          </w:tcPr>
          <w:p w14:paraId="568A839D" w14:textId="77777777" w:rsidR="00CB2FF5" w:rsidRPr="00F02ABE" w:rsidRDefault="00CB2FF5" w:rsidP="00242CBD">
            <w:pPr>
              <w:pStyle w:val="Default"/>
              <w:jc w:val="both"/>
              <w:rPr>
                <w:b/>
                <w:bCs/>
              </w:rPr>
            </w:pPr>
            <w:r w:rsidRPr="00F02ABE">
              <w:rPr>
                <w:b/>
                <w:bCs/>
              </w:rPr>
              <w:t>Pessoal e Encargos</w:t>
            </w:r>
          </w:p>
        </w:tc>
        <w:tc>
          <w:tcPr>
            <w:tcW w:w="1963" w:type="dxa"/>
          </w:tcPr>
          <w:p w14:paraId="1AE810D4" w14:textId="6C2003CF" w:rsidR="00CB2FF5" w:rsidRPr="00F02ABE" w:rsidRDefault="00227788" w:rsidP="00242CBD">
            <w:pPr>
              <w:pStyle w:val="Default"/>
              <w:jc w:val="right"/>
              <w:rPr>
                <w:b/>
                <w:bCs/>
              </w:rPr>
            </w:pPr>
            <w:r>
              <w:rPr>
                <w:b/>
                <w:bCs/>
              </w:rPr>
              <w:t>500.882.860,54</w:t>
            </w:r>
          </w:p>
        </w:tc>
        <w:tc>
          <w:tcPr>
            <w:tcW w:w="1723" w:type="dxa"/>
          </w:tcPr>
          <w:p w14:paraId="53DA52FB" w14:textId="133CDBBB" w:rsidR="00CB2FF5" w:rsidRPr="00F02ABE" w:rsidRDefault="00227788" w:rsidP="00242CBD">
            <w:pPr>
              <w:pStyle w:val="Default"/>
              <w:jc w:val="right"/>
              <w:rPr>
                <w:b/>
                <w:bCs/>
              </w:rPr>
            </w:pPr>
            <w:r>
              <w:rPr>
                <w:b/>
                <w:bCs/>
              </w:rPr>
              <w:t>458.250.372,93</w:t>
            </w:r>
          </w:p>
        </w:tc>
        <w:tc>
          <w:tcPr>
            <w:tcW w:w="1276" w:type="dxa"/>
          </w:tcPr>
          <w:p w14:paraId="79AE4956" w14:textId="793D259D" w:rsidR="00CB2FF5" w:rsidRPr="00F02ABE" w:rsidRDefault="00227788" w:rsidP="00242CBD">
            <w:pPr>
              <w:pStyle w:val="Default"/>
              <w:jc w:val="center"/>
              <w:rPr>
                <w:b/>
                <w:bCs/>
              </w:rPr>
            </w:pPr>
            <w:r>
              <w:rPr>
                <w:b/>
                <w:bCs/>
              </w:rPr>
              <w:t>9,30</w:t>
            </w:r>
          </w:p>
        </w:tc>
        <w:tc>
          <w:tcPr>
            <w:tcW w:w="1275" w:type="dxa"/>
          </w:tcPr>
          <w:p w14:paraId="2E40667F" w14:textId="353A4174" w:rsidR="00CB2FF5" w:rsidRPr="00F02ABE" w:rsidRDefault="00227788" w:rsidP="00242CBD">
            <w:pPr>
              <w:pStyle w:val="Default"/>
              <w:jc w:val="center"/>
              <w:rPr>
                <w:b/>
                <w:bCs/>
              </w:rPr>
            </w:pPr>
            <w:r>
              <w:rPr>
                <w:b/>
                <w:bCs/>
              </w:rPr>
              <w:t>66,10</w:t>
            </w:r>
          </w:p>
        </w:tc>
      </w:tr>
      <w:tr w:rsidR="00CB2FF5" w:rsidRPr="00F02ABE" w14:paraId="5BF11CE9" w14:textId="77777777" w:rsidTr="00242CBD">
        <w:tc>
          <w:tcPr>
            <w:tcW w:w="6232" w:type="dxa"/>
          </w:tcPr>
          <w:p w14:paraId="276CD719" w14:textId="77777777" w:rsidR="00CB2FF5" w:rsidRPr="00F02ABE" w:rsidRDefault="00CB2FF5" w:rsidP="00242CBD">
            <w:pPr>
              <w:pStyle w:val="Default"/>
              <w:jc w:val="both"/>
            </w:pPr>
            <w:r w:rsidRPr="00F02ABE">
              <w:t>Benefícios Previdenciários e Assistenciais</w:t>
            </w:r>
          </w:p>
        </w:tc>
        <w:tc>
          <w:tcPr>
            <w:tcW w:w="1963" w:type="dxa"/>
          </w:tcPr>
          <w:p w14:paraId="15849A73" w14:textId="6F748337" w:rsidR="00CB2FF5" w:rsidRPr="00F02ABE" w:rsidRDefault="00227788" w:rsidP="00242CBD">
            <w:pPr>
              <w:pStyle w:val="Default"/>
              <w:jc w:val="right"/>
            </w:pPr>
            <w:r>
              <w:t>63.805.557,68</w:t>
            </w:r>
          </w:p>
        </w:tc>
        <w:tc>
          <w:tcPr>
            <w:tcW w:w="1723" w:type="dxa"/>
          </w:tcPr>
          <w:p w14:paraId="1B25E261" w14:textId="534569AB" w:rsidR="00CB2FF5" w:rsidRPr="00F02ABE" w:rsidRDefault="00227788" w:rsidP="00242CBD">
            <w:pPr>
              <w:pStyle w:val="Default"/>
              <w:jc w:val="right"/>
            </w:pPr>
            <w:r>
              <w:t>59.599.029,04</w:t>
            </w:r>
          </w:p>
        </w:tc>
        <w:tc>
          <w:tcPr>
            <w:tcW w:w="1276" w:type="dxa"/>
          </w:tcPr>
          <w:p w14:paraId="176A6A59" w14:textId="7CA8AE17" w:rsidR="00CB2FF5" w:rsidRPr="00F02ABE" w:rsidRDefault="00227788" w:rsidP="00242CBD">
            <w:pPr>
              <w:pStyle w:val="Default"/>
              <w:jc w:val="center"/>
            </w:pPr>
            <w:r>
              <w:t>7,06</w:t>
            </w:r>
          </w:p>
        </w:tc>
        <w:tc>
          <w:tcPr>
            <w:tcW w:w="1275" w:type="dxa"/>
          </w:tcPr>
          <w:p w14:paraId="687E9A44" w14:textId="1C072365" w:rsidR="00CB2FF5" w:rsidRPr="00F02ABE" w:rsidRDefault="00227788" w:rsidP="00242CBD">
            <w:pPr>
              <w:pStyle w:val="Default"/>
              <w:jc w:val="center"/>
            </w:pPr>
            <w:r>
              <w:t>8,42</w:t>
            </w:r>
          </w:p>
        </w:tc>
      </w:tr>
      <w:tr w:rsidR="00CB2FF5" w:rsidRPr="00F02ABE" w14:paraId="1EC7E48C" w14:textId="77777777" w:rsidTr="00242CBD">
        <w:tc>
          <w:tcPr>
            <w:tcW w:w="6232" w:type="dxa"/>
          </w:tcPr>
          <w:p w14:paraId="4BEEFA4C" w14:textId="77777777" w:rsidR="00CB2FF5" w:rsidRPr="00F02ABE" w:rsidRDefault="00CB2FF5" w:rsidP="00242CBD">
            <w:pPr>
              <w:pStyle w:val="Default"/>
              <w:jc w:val="both"/>
            </w:pPr>
            <w:r w:rsidRPr="00F02ABE">
              <w:t>Uso de Bens, Serviços e Consumo de Capital Fixo</w:t>
            </w:r>
          </w:p>
        </w:tc>
        <w:tc>
          <w:tcPr>
            <w:tcW w:w="1963" w:type="dxa"/>
          </w:tcPr>
          <w:p w14:paraId="2A0525C7" w14:textId="30DE7D4F" w:rsidR="00CB2FF5" w:rsidRPr="00F02ABE" w:rsidRDefault="00227788" w:rsidP="00242CBD">
            <w:pPr>
              <w:pStyle w:val="Default"/>
              <w:jc w:val="right"/>
            </w:pPr>
            <w:r>
              <w:t>87.662.864,15</w:t>
            </w:r>
          </w:p>
        </w:tc>
        <w:tc>
          <w:tcPr>
            <w:tcW w:w="1723" w:type="dxa"/>
          </w:tcPr>
          <w:p w14:paraId="228719EA" w14:textId="5D2F9BC3" w:rsidR="00CB2FF5" w:rsidRPr="00F02ABE" w:rsidRDefault="00227788" w:rsidP="00242CBD">
            <w:pPr>
              <w:pStyle w:val="Default"/>
              <w:jc w:val="right"/>
            </w:pPr>
            <w:r>
              <w:t>67.069.164,21</w:t>
            </w:r>
          </w:p>
        </w:tc>
        <w:tc>
          <w:tcPr>
            <w:tcW w:w="1276" w:type="dxa"/>
          </w:tcPr>
          <w:p w14:paraId="33F9D896" w14:textId="78704D8F" w:rsidR="00CB2FF5" w:rsidRPr="00F02ABE" w:rsidRDefault="00227788" w:rsidP="00242CBD">
            <w:pPr>
              <w:pStyle w:val="Default"/>
              <w:jc w:val="center"/>
            </w:pPr>
            <w:r>
              <w:t>30,71</w:t>
            </w:r>
          </w:p>
        </w:tc>
        <w:tc>
          <w:tcPr>
            <w:tcW w:w="1275" w:type="dxa"/>
          </w:tcPr>
          <w:p w14:paraId="12F6BD46" w14:textId="1BB692F5" w:rsidR="00CB2FF5" w:rsidRPr="00F02ABE" w:rsidRDefault="00227788" w:rsidP="00242CBD">
            <w:pPr>
              <w:pStyle w:val="Default"/>
              <w:jc w:val="center"/>
            </w:pPr>
            <w:r>
              <w:t>11,57</w:t>
            </w:r>
          </w:p>
        </w:tc>
      </w:tr>
      <w:tr w:rsidR="00CB2FF5" w:rsidRPr="00F02ABE" w14:paraId="6CBAB609" w14:textId="77777777" w:rsidTr="00242CBD">
        <w:tc>
          <w:tcPr>
            <w:tcW w:w="6232" w:type="dxa"/>
          </w:tcPr>
          <w:p w14:paraId="75979896" w14:textId="77777777" w:rsidR="00CB2FF5" w:rsidRPr="00F02ABE" w:rsidRDefault="00CB2FF5" w:rsidP="00242CBD">
            <w:pPr>
              <w:pStyle w:val="Default"/>
              <w:jc w:val="both"/>
            </w:pPr>
            <w:r w:rsidRPr="00F02ABE">
              <w:t>Variações Patrimoniais Diminutivas Financeiras</w:t>
            </w:r>
          </w:p>
        </w:tc>
        <w:tc>
          <w:tcPr>
            <w:tcW w:w="1963" w:type="dxa"/>
          </w:tcPr>
          <w:p w14:paraId="53C5A881" w14:textId="6ECDCC36" w:rsidR="00CB2FF5" w:rsidRPr="00F02ABE" w:rsidRDefault="00227788" w:rsidP="00242CBD">
            <w:pPr>
              <w:pStyle w:val="Default"/>
              <w:jc w:val="right"/>
            </w:pPr>
            <w:r>
              <w:t>49.796,83</w:t>
            </w:r>
          </w:p>
        </w:tc>
        <w:tc>
          <w:tcPr>
            <w:tcW w:w="1723" w:type="dxa"/>
          </w:tcPr>
          <w:p w14:paraId="60DE39FF" w14:textId="0D6CC68D" w:rsidR="00CB2FF5" w:rsidRPr="00F02ABE" w:rsidRDefault="00227788" w:rsidP="00242CBD">
            <w:pPr>
              <w:pStyle w:val="Default"/>
              <w:jc w:val="right"/>
            </w:pPr>
            <w:r>
              <w:t>6.185,32</w:t>
            </w:r>
          </w:p>
        </w:tc>
        <w:tc>
          <w:tcPr>
            <w:tcW w:w="1276" w:type="dxa"/>
          </w:tcPr>
          <w:p w14:paraId="4863E35F" w14:textId="731CE2E1" w:rsidR="00CB2FF5" w:rsidRPr="00F02ABE" w:rsidRDefault="00227788" w:rsidP="00242CBD">
            <w:pPr>
              <w:pStyle w:val="Default"/>
              <w:jc w:val="center"/>
            </w:pPr>
            <w:r>
              <w:t>705.08</w:t>
            </w:r>
          </w:p>
        </w:tc>
        <w:tc>
          <w:tcPr>
            <w:tcW w:w="1275" w:type="dxa"/>
          </w:tcPr>
          <w:p w14:paraId="3B169764" w14:textId="3E3ABAFF" w:rsidR="00CB2FF5" w:rsidRPr="00F02ABE" w:rsidRDefault="00227788" w:rsidP="00242CBD">
            <w:pPr>
              <w:pStyle w:val="Default"/>
              <w:jc w:val="center"/>
            </w:pPr>
            <w:r>
              <w:t>0,01</w:t>
            </w:r>
          </w:p>
        </w:tc>
      </w:tr>
      <w:tr w:rsidR="00CB2FF5" w:rsidRPr="00F02ABE" w14:paraId="103DE6DB" w14:textId="77777777" w:rsidTr="00242CBD">
        <w:tc>
          <w:tcPr>
            <w:tcW w:w="6232" w:type="dxa"/>
          </w:tcPr>
          <w:p w14:paraId="51E667E3" w14:textId="77777777" w:rsidR="00CB2FF5" w:rsidRPr="00F02ABE" w:rsidRDefault="00CB2FF5" w:rsidP="00242CBD">
            <w:pPr>
              <w:pStyle w:val="Default"/>
              <w:jc w:val="both"/>
            </w:pPr>
            <w:r w:rsidRPr="00F02ABE">
              <w:t>Transferências e Delegações Concedidas</w:t>
            </w:r>
          </w:p>
        </w:tc>
        <w:tc>
          <w:tcPr>
            <w:tcW w:w="1963" w:type="dxa"/>
          </w:tcPr>
          <w:p w14:paraId="0F2C499B" w14:textId="6C89F09E" w:rsidR="00CB2FF5" w:rsidRPr="00F02ABE" w:rsidRDefault="00227788" w:rsidP="00242CBD">
            <w:pPr>
              <w:pStyle w:val="Default"/>
              <w:jc w:val="right"/>
            </w:pPr>
            <w:r>
              <w:t>62.557.096,50</w:t>
            </w:r>
          </w:p>
        </w:tc>
        <w:tc>
          <w:tcPr>
            <w:tcW w:w="1723" w:type="dxa"/>
          </w:tcPr>
          <w:p w14:paraId="3110867E" w14:textId="73FD1E10" w:rsidR="00CB2FF5" w:rsidRPr="00F02ABE" w:rsidRDefault="00227788" w:rsidP="00242CBD">
            <w:pPr>
              <w:pStyle w:val="Default"/>
              <w:jc w:val="right"/>
            </w:pPr>
            <w:r>
              <w:t>60.378.829,99</w:t>
            </w:r>
          </w:p>
        </w:tc>
        <w:tc>
          <w:tcPr>
            <w:tcW w:w="1276" w:type="dxa"/>
          </w:tcPr>
          <w:p w14:paraId="620458AD" w14:textId="6C52DB69" w:rsidR="00CB2FF5" w:rsidRPr="00F02ABE" w:rsidRDefault="00227788" w:rsidP="00242CBD">
            <w:pPr>
              <w:pStyle w:val="Default"/>
              <w:jc w:val="center"/>
            </w:pPr>
            <w:r>
              <w:t>3,61</w:t>
            </w:r>
          </w:p>
        </w:tc>
        <w:tc>
          <w:tcPr>
            <w:tcW w:w="1275" w:type="dxa"/>
          </w:tcPr>
          <w:p w14:paraId="5BCADAEF" w14:textId="4EA08247" w:rsidR="00CB2FF5" w:rsidRPr="00F02ABE" w:rsidRDefault="00227788" w:rsidP="00242CBD">
            <w:pPr>
              <w:pStyle w:val="Default"/>
              <w:jc w:val="center"/>
            </w:pPr>
            <w:r>
              <w:t>8,26</w:t>
            </w:r>
          </w:p>
        </w:tc>
      </w:tr>
      <w:tr w:rsidR="00CB2FF5" w:rsidRPr="00F02ABE" w14:paraId="047FC9DB" w14:textId="77777777" w:rsidTr="00242CBD">
        <w:tc>
          <w:tcPr>
            <w:tcW w:w="6232" w:type="dxa"/>
          </w:tcPr>
          <w:p w14:paraId="31CE25D8" w14:textId="77777777" w:rsidR="00CB2FF5" w:rsidRPr="00F02ABE" w:rsidRDefault="00CB2FF5" w:rsidP="00242CBD">
            <w:pPr>
              <w:pStyle w:val="Default"/>
              <w:jc w:val="both"/>
            </w:pPr>
            <w:r w:rsidRPr="00F02ABE">
              <w:t>Desvalorização e Perda de Ativos e Incorporação de Passivos</w:t>
            </w:r>
          </w:p>
        </w:tc>
        <w:tc>
          <w:tcPr>
            <w:tcW w:w="1963" w:type="dxa"/>
          </w:tcPr>
          <w:p w14:paraId="4C8E917B" w14:textId="241188D9" w:rsidR="00CB2FF5" w:rsidRPr="00F02ABE" w:rsidRDefault="00227788" w:rsidP="00242CBD">
            <w:pPr>
              <w:pStyle w:val="Default"/>
              <w:jc w:val="right"/>
            </w:pPr>
            <w:r>
              <w:t>36.570.006,50</w:t>
            </w:r>
          </w:p>
        </w:tc>
        <w:tc>
          <w:tcPr>
            <w:tcW w:w="1723" w:type="dxa"/>
          </w:tcPr>
          <w:p w14:paraId="146FF680" w14:textId="174505EF" w:rsidR="00CB2FF5" w:rsidRPr="00F02ABE" w:rsidRDefault="00227788" w:rsidP="00242CBD">
            <w:pPr>
              <w:pStyle w:val="Default"/>
              <w:jc w:val="right"/>
            </w:pPr>
            <w:r>
              <w:t>21.653.729,39</w:t>
            </w:r>
          </w:p>
        </w:tc>
        <w:tc>
          <w:tcPr>
            <w:tcW w:w="1276" w:type="dxa"/>
          </w:tcPr>
          <w:p w14:paraId="265045AC" w14:textId="0F42D126" w:rsidR="00CB2FF5" w:rsidRPr="00F02ABE" w:rsidRDefault="00227788" w:rsidP="00242CBD">
            <w:pPr>
              <w:pStyle w:val="Default"/>
              <w:jc w:val="center"/>
            </w:pPr>
            <w:r>
              <w:t>68,89</w:t>
            </w:r>
          </w:p>
        </w:tc>
        <w:tc>
          <w:tcPr>
            <w:tcW w:w="1275" w:type="dxa"/>
          </w:tcPr>
          <w:p w14:paraId="708DA1A9" w14:textId="4229AA6F" w:rsidR="00CB2FF5" w:rsidRPr="00F02ABE" w:rsidRDefault="00227788" w:rsidP="00242CBD">
            <w:pPr>
              <w:pStyle w:val="Default"/>
              <w:jc w:val="center"/>
            </w:pPr>
            <w:r>
              <w:t>4,83</w:t>
            </w:r>
          </w:p>
        </w:tc>
      </w:tr>
      <w:tr w:rsidR="00CB2FF5" w:rsidRPr="00F02ABE" w14:paraId="44626C31" w14:textId="77777777" w:rsidTr="00242CBD">
        <w:tc>
          <w:tcPr>
            <w:tcW w:w="6232" w:type="dxa"/>
          </w:tcPr>
          <w:p w14:paraId="356F9AF8" w14:textId="77777777" w:rsidR="00CB2FF5" w:rsidRPr="00F02ABE" w:rsidRDefault="00CB2FF5" w:rsidP="00242CBD">
            <w:pPr>
              <w:pStyle w:val="Default"/>
              <w:jc w:val="both"/>
            </w:pPr>
            <w:r w:rsidRPr="00F02ABE">
              <w:t>Tributárias</w:t>
            </w:r>
          </w:p>
        </w:tc>
        <w:tc>
          <w:tcPr>
            <w:tcW w:w="1963" w:type="dxa"/>
          </w:tcPr>
          <w:p w14:paraId="1598EFB7" w14:textId="1C86361B" w:rsidR="00CB2FF5" w:rsidRPr="00F02ABE" w:rsidRDefault="00227788" w:rsidP="00242CBD">
            <w:pPr>
              <w:pStyle w:val="Default"/>
              <w:jc w:val="right"/>
            </w:pPr>
            <w:r>
              <w:t>314.893,35</w:t>
            </w:r>
          </w:p>
        </w:tc>
        <w:tc>
          <w:tcPr>
            <w:tcW w:w="1723" w:type="dxa"/>
          </w:tcPr>
          <w:p w14:paraId="27310E3B" w14:textId="39F1CE9F" w:rsidR="00CB2FF5" w:rsidRPr="00F02ABE" w:rsidRDefault="00227788" w:rsidP="00242CBD">
            <w:pPr>
              <w:pStyle w:val="Default"/>
              <w:jc w:val="right"/>
            </w:pPr>
            <w:r>
              <w:t>400.321,49</w:t>
            </w:r>
          </w:p>
        </w:tc>
        <w:tc>
          <w:tcPr>
            <w:tcW w:w="1276" w:type="dxa"/>
          </w:tcPr>
          <w:p w14:paraId="1FFBC39A" w14:textId="574842A9" w:rsidR="00CB2FF5" w:rsidRPr="00F02ABE" w:rsidRDefault="00227788" w:rsidP="00242CBD">
            <w:pPr>
              <w:pStyle w:val="Default"/>
              <w:jc w:val="center"/>
            </w:pPr>
            <w:r>
              <w:t>-21,34</w:t>
            </w:r>
          </w:p>
        </w:tc>
        <w:tc>
          <w:tcPr>
            <w:tcW w:w="1275" w:type="dxa"/>
          </w:tcPr>
          <w:p w14:paraId="188BC071" w14:textId="249AAB2F" w:rsidR="00CB2FF5" w:rsidRPr="00F02ABE" w:rsidRDefault="00227788" w:rsidP="00242CBD">
            <w:pPr>
              <w:pStyle w:val="Default"/>
              <w:jc w:val="center"/>
            </w:pPr>
            <w:r>
              <w:t>0,04</w:t>
            </w:r>
          </w:p>
        </w:tc>
      </w:tr>
      <w:tr w:rsidR="00CB2FF5" w:rsidRPr="00F02ABE" w14:paraId="13142B5B" w14:textId="77777777" w:rsidTr="00242CBD">
        <w:tc>
          <w:tcPr>
            <w:tcW w:w="6232" w:type="dxa"/>
          </w:tcPr>
          <w:p w14:paraId="0EDD7609" w14:textId="77777777" w:rsidR="00CB2FF5" w:rsidRPr="00F02ABE" w:rsidRDefault="00CB2FF5" w:rsidP="00242CBD">
            <w:pPr>
              <w:pStyle w:val="Default"/>
              <w:jc w:val="both"/>
            </w:pPr>
            <w:r w:rsidRPr="00F02ABE">
              <w:t>Outras Variações Patrimoniais Diminutivas</w:t>
            </w:r>
          </w:p>
        </w:tc>
        <w:tc>
          <w:tcPr>
            <w:tcW w:w="1963" w:type="dxa"/>
          </w:tcPr>
          <w:p w14:paraId="6105EFC4" w14:textId="231204A2" w:rsidR="00CB2FF5" w:rsidRPr="00F02ABE" w:rsidRDefault="00227788" w:rsidP="00242CBD">
            <w:pPr>
              <w:pStyle w:val="Default"/>
              <w:jc w:val="right"/>
            </w:pPr>
            <w:r>
              <w:t>5.891.648,21</w:t>
            </w:r>
          </w:p>
        </w:tc>
        <w:tc>
          <w:tcPr>
            <w:tcW w:w="1723" w:type="dxa"/>
          </w:tcPr>
          <w:p w14:paraId="3BCC0A65" w14:textId="75FEB22D" w:rsidR="00CB2FF5" w:rsidRPr="00F02ABE" w:rsidRDefault="00227788" w:rsidP="00242CBD">
            <w:pPr>
              <w:pStyle w:val="Default"/>
              <w:jc w:val="right"/>
            </w:pPr>
            <w:r>
              <w:t>8.700.692,20</w:t>
            </w:r>
          </w:p>
        </w:tc>
        <w:tc>
          <w:tcPr>
            <w:tcW w:w="1276" w:type="dxa"/>
          </w:tcPr>
          <w:p w14:paraId="1DB79684" w14:textId="26787FAF" w:rsidR="00CB2FF5" w:rsidRPr="00F02ABE" w:rsidRDefault="00227788" w:rsidP="00242CBD">
            <w:pPr>
              <w:pStyle w:val="Default"/>
              <w:jc w:val="center"/>
            </w:pPr>
            <w:r>
              <w:t>-32,29</w:t>
            </w:r>
          </w:p>
        </w:tc>
        <w:tc>
          <w:tcPr>
            <w:tcW w:w="1275" w:type="dxa"/>
          </w:tcPr>
          <w:p w14:paraId="271606EB" w14:textId="5E89B83D" w:rsidR="00CB2FF5" w:rsidRPr="00F02ABE" w:rsidRDefault="00227788" w:rsidP="00242CBD">
            <w:pPr>
              <w:pStyle w:val="Default"/>
              <w:jc w:val="center"/>
            </w:pPr>
            <w:r>
              <w:t>0,78</w:t>
            </w:r>
          </w:p>
        </w:tc>
      </w:tr>
    </w:tbl>
    <w:p w14:paraId="07D00E90" w14:textId="77777777" w:rsidR="00CB2FF5" w:rsidRDefault="00CB2FF5" w:rsidP="00CB2FF5">
      <w:pPr>
        <w:autoSpaceDE w:val="0"/>
        <w:autoSpaceDN w:val="0"/>
        <w:adjustRightInd w:val="0"/>
        <w:spacing w:after="0" w:line="240" w:lineRule="auto"/>
        <w:ind w:left="1701"/>
        <w:rPr>
          <w:rFonts w:ascii="Times New Roman" w:hAnsi="Times New Roman"/>
          <w:bCs/>
          <w:sz w:val="24"/>
          <w:szCs w:val="24"/>
          <w:lang w:eastAsia="pt-BR"/>
        </w:rPr>
      </w:pPr>
      <w:r w:rsidRPr="008A331E">
        <w:rPr>
          <w:rFonts w:ascii="Times New Roman" w:hAnsi="Times New Roman"/>
          <w:bCs/>
          <w:sz w:val="20"/>
          <w:szCs w:val="20"/>
          <w:lang w:eastAsia="pt-BR"/>
        </w:rPr>
        <w:t>Fonte: SIAFI, 2024 e 2023</w:t>
      </w:r>
      <w:r w:rsidRPr="00F02ABE">
        <w:rPr>
          <w:rFonts w:ascii="Times New Roman" w:hAnsi="Times New Roman"/>
          <w:bCs/>
          <w:sz w:val="24"/>
          <w:szCs w:val="24"/>
          <w:lang w:eastAsia="pt-BR"/>
        </w:rPr>
        <w:t>.</w:t>
      </w:r>
    </w:p>
    <w:p w14:paraId="496574D1" w14:textId="77777777" w:rsidR="00906EDC" w:rsidRDefault="00906EDC" w:rsidP="00CB2FF5">
      <w:pPr>
        <w:autoSpaceDE w:val="0"/>
        <w:autoSpaceDN w:val="0"/>
        <w:adjustRightInd w:val="0"/>
        <w:spacing w:after="0" w:line="240" w:lineRule="auto"/>
        <w:ind w:left="1701"/>
        <w:rPr>
          <w:rFonts w:ascii="Times New Roman" w:hAnsi="Times New Roman"/>
          <w:bCs/>
          <w:sz w:val="24"/>
          <w:szCs w:val="24"/>
          <w:lang w:eastAsia="pt-BR"/>
        </w:rPr>
      </w:pPr>
    </w:p>
    <w:p w14:paraId="53CB6F3F" w14:textId="0E7E2D06" w:rsidR="00CB2FF5" w:rsidRDefault="00CB2FF5" w:rsidP="00CB2FF5">
      <w:pPr>
        <w:autoSpaceDE w:val="0"/>
        <w:autoSpaceDN w:val="0"/>
        <w:adjustRightInd w:val="0"/>
        <w:spacing w:after="0" w:line="240" w:lineRule="auto"/>
        <w:ind w:left="1701"/>
        <w:rPr>
          <w:rFonts w:ascii="Times New Roman" w:hAnsi="Times New Roman"/>
          <w:bCs/>
          <w:sz w:val="24"/>
          <w:szCs w:val="24"/>
          <w:lang w:eastAsia="pt-BR"/>
        </w:rPr>
      </w:pPr>
      <w:r w:rsidRPr="00F02ABE">
        <w:rPr>
          <w:rFonts w:ascii="Times New Roman" w:hAnsi="Times New Roman"/>
          <w:bCs/>
          <w:sz w:val="24"/>
          <w:szCs w:val="24"/>
          <w:lang w:eastAsia="pt-BR"/>
        </w:rPr>
        <w:t>A Demonstração das Variações Patrimoniais não apresenta valores de VPA e/ou VPD no grupo “outros”. O IFPI não está depreciando seus bens móveis, pois ainda está implantando o SIADS.</w:t>
      </w:r>
    </w:p>
    <w:p w14:paraId="3E3003EA" w14:textId="5D6150FD" w:rsidR="00695635" w:rsidRDefault="00695635" w:rsidP="00CB2FF5">
      <w:pPr>
        <w:autoSpaceDE w:val="0"/>
        <w:autoSpaceDN w:val="0"/>
        <w:adjustRightInd w:val="0"/>
        <w:spacing w:after="0" w:line="240" w:lineRule="auto"/>
        <w:ind w:left="1701"/>
        <w:rPr>
          <w:rFonts w:ascii="Times New Roman" w:hAnsi="Times New Roman"/>
          <w:bCs/>
          <w:sz w:val="24"/>
          <w:szCs w:val="24"/>
          <w:lang w:eastAsia="pt-BR"/>
        </w:rPr>
      </w:pPr>
    </w:p>
    <w:p w14:paraId="08EE1C7D" w14:textId="31C793EB" w:rsidR="00A66015" w:rsidRDefault="00A66015" w:rsidP="00CB2FF5">
      <w:pPr>
        <w:autoSpaceDE w:val="0"/>
        <w:autoSpaceDN w:val="0"/>
        <w:adjustRightInd w:val="0"/>
        <w:spacing w:after="0" w:line="240" w:lineRule="auto"/>
        <w:ind w:left="1701"/>
        <w:rPr>
          <w:rFonts w:ascii="Times New Roman" w:hAnsi="Times New Roman"/>
          <w:bCs/>
          <w:sz w:val="24"/>
          <w:szCs w:val="24"/>
          <w:lang w:eastAsia="pt-BR"/>
        </w:rPr>
      </w:pPr>
    </w:p>
    <w:p w14:paraId="4C15E129" w14:textId="77777777" w:rsidR="001716D7" w:rsidRDefault="001716D7" w:rsidP="00CB2FF5">
      <w:pPr>
        <w:autoSpaceDE w:val="0"/>
        <w:autoSpaceDN w:val="0"/>
        <w:adjustRightInd w:val="0"/>
        <w:spacing w:after="0" w:line="240" w:lineRule="auto"/>
        <w:ind w:left="1701"/>
        <w:rPr>
          <w:rFonts w:ascii="Times New Roman" w:hAnsi="Times New Roman"/>
          <w:bCs/>
          <w:sz w:val="24"/>
          <w:szCs w:val="24"/>
          <w:lang w:eastAsia="pt-BR"/>
        </w:rPr>
      </w:pPr>
    </w:p>
    <w:p w14:paraId="5082742A" w14:textId="37AF4846" w:rsidR="00A66015" w:rsidRDefault="00A66015" w:rsidP="00CB2FF5">
      <w:pPr>
        <w:autoSpaceDE w:val="0"/>
        <w:autoSpaceDN w:val="0"/>
        <w:adjustRightInd w:val="0"/>
        <w:spacing w:after="0" w:line="240" w:lineRule="auto"/>
        <w:ind w:left="1701"/>
        <w:rPr>
          <w:rFonts w:ascii="Times New Roman" w:hAnsi="Times New Roman"/>
          <w:bCs/>
          <w:sz w:val="24"/>
          <w:szCs w:val="24"/>
          <w:lang w:eastAsia="pt-BR"/>
        </w:rPr>
      </w:pPr>
    </w:p>
    <w:p w14:paraId="5A74772D" w14:textId="77777777" w:rsidR="00A66015" w:rsidRPr="00F02ABE" w:rsidRDefault="00A66015" w:rsidP="00CB2FF5">
      <w:pPr>
        <w:autoSpaceDE w:val="0"/>
        <w:autoSpaceDN w:val="0"/>
        <w:adjustRightInd w:val="0"/>
        <w:spacing w:after="0" w:line="240" w:lineRule="auto"/>
        <w:ind w:left="1701"/>
        <w:rPr>
          <w:rFonts w:ascii="Times New Roman" w:hAnsi="Times New Roman"/>
          <w:bCs/>
          <w:sz w:val="24"/>
          <w:szCs w:val="24"/>
          <w:lang w:eastAsia="pt-BR"/>
        </w:rPr>
      </w:pPr>
    </w:p>
    <w:p w14:paraId="0E8BB301" w14:textId="77777777" w:rsidR="00CB2FF5" w:rsidRPr="00F02ABE" w:rsidRDefault="00CB2FF5" w:rsidP="00CB2FF5">
      <w:pPr>
        <w:autoSpaceDE w:val="0"/>
        <w:autoSpaceDN w:val="0"/>
        <w:adjustRightInd w:val="0"/>
        <w:spacing w:after="0" w:line="240" w:lineRule="auto"/>
        <w:ind w:left="1701"/>
        <w:rPr>
          <w:rFonts w:ascii="Times New Roman" w:hAnsi="Times New Roman"/>
          <w:b/>
          <w:bCs/>
          <w:sz w:val="24"/>
          <w:szCs w:val="24"/>
          <w:lang w:eastAsia="pt-BR"/>
        </w:rPr>
      </w:pPr>
      <w:r w:rsidRPr="00F02ABE">
        <w:rPr>
          <w:rFonts w:ascii="Times New Roman" w:hAnsi="Times New Roman"/>
          <w:b/>
          <w:bCs/>
          <w:sz w:val="24"/>
          <w:szCs w:val="24"/>
          <w:lang w:eastAsia="pt-BR"/>
        </w:rPr>
        <w:lastRenderedPageBreak/>
        <w:t xml:space="preserve">9. NOTAS EXPLICATIVAS </w:t>
      </w:r>
      <w:r>
        <w:rPr>
          <w:rFonts w:ascii="Times New Roman" w:hAnsi="Times New Roman"/>
          <w:b/>
          <w:bCs/>
          <w:sz w:val="24"/>
          <w:szCs w:val="24"/>
          <w:lang w:eastAsia="pt-BR"/>
        </w:rPr>
        <w:t xml:space="preserve">REFERENTES </w:t>
      </w:r>
      <w:r w:rsidRPr="00F02ABE">
        <w:rPr>
          <w:rFonts w:ascii="Times New Roman" w:hAnsi="Times New Roman"/>
          <w:b/>
          <w:bCs/>
          <w:sz w:val="24"/>
          <w:szCs w:val="24"/>
          <w:lang w:eastAsia="pt-BR"/>
        </w:rPr>
        <w:t>AO BALANÇO FINANCEIRO – BF</w:t>
      </w:r>
    </w:p>
    <w:p w14:paraId="205EDFCB" w14:textId="77777777" w:rsidR="00CB2FF5" w:rsidRPr="00F02ABE" w:rsidRDefault="00CB2FF5" w:rsidP="00CB2FF5">
      <w:pPr>
        <w:autoSpaceDE w:val="0"/>
        <w:autoSpaceDN w:val="0"/>
        <w:adjustRightInd w:val="0"/>
        <w:spacing w:after="0" w:line="240" w:lineRule="auto"/>
        <w:ind w:left="1701"/>
        <w:rPr>
          <w:rFonts w:ascii="Times New Roman" w:hAnsi="Times New Roman"/>
          <w:b/>
          <w:bCs/>
          <w:sz w:val="24"/>
          <w:szCs w:val="24"/>
          <w:lang w:eastAsia="pt-BR"/>
        </w:rPr>
      </w:pPr>
    </w:p>
    <w:p w14:paraId="72BC2B96"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lang w:eastAsia="pt-BR"/>
        </w:rPr>
      </w:pPr>
      <w:r w:rsidRPr="00F02ABE">
        <w:rPr>
          <w:rFonts w:ascii="Times New Roman" w:hAnsi="Times New Roman"/>
          <w:b/>
          <w:bCs/>
          <w:sz w:val="24"/>
          <w:szCs w:val="24"/>
          <w:lang w:eastAsia="pt-BR"/>
        </w:rPr>
        <w:t>9.1. Ingressos</w:t>
      </w:r>
    </w:p>
    <w:p w14:paraId="37E10637"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bCs/>
          <w:sz w:val="24"/>
          <w:szCs w:val="24"/>
          <w:lang w:eastAsia="pt-BR"/>
        </w:rPr>
      </w:pPr>
    </w:p>
    <w:p w14:paraId="4EB83509"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De acordo com a Lei nº 4.320/1964, o Balanço Financeiro – BF evidencia as receitas e despesas orçamentárias, bem como os ingressos e dispêndios extraorçamentários, conjugados com os saldos de caixa do exercício anterior e os que se transferem para o início do exercício seguinte.</w:t>
      </w:r>
    </w:p>
    <w:p w14:paraId="0BD777EF" w14:textId="1C0BBB58"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Somando os Ingressos do período e comparando-os com o mesmo período de 202</w:t>
      </w:r>
      <w:r w:rsidR="00806D27">
        <w:rPr>
          <w:rFonts w:ascii="Times New Roman" w:hAnsi="Times New Roman"/>
          <w:sz w:val="24"/>
          <w:szCs w:val="24"/>
          <w:lang w:eastAsia="pt-BR"/>
        </w:rPr>
        <w:t>3</w:t>
      </w:r>
      <w:r w:rsidRPr="00F02ABE">
        <w:rPr>
          <w:rFonts w:ascii="Times New Roman" w:hAnsi="Times New Roman"/>
          <w:sz w:val="24"/>
          <w:szCs w:val="24"/>
          <w:lang w:eastAsia="pt-BR"/>
        </w:rPr>
        <w:t xml:space="preserve">, verifica-se que houve um acréscimo de </w:t>
      </w:r>
      <w:r>
        <w:rPr>
          <w:rFonts w:ascii="Times New Roman" w:hAnsi="Times New Roman"/>
          <w:sz w:val="24"/>
          <w:szCs w:val="24"/>
          <w:lang w:eastAsia="pt-BR"/>
        </w:rPr>
        <w:t>1</w:t>
      </w:r>
      <w:r w:rsidR="00A66015">
        <w:rPr>
          <w:rFonts w:ascii="Times New Roman" w:hAnsi="Times New Roman"/>
          <w:sz w:val="24"/>
          <w:szCs w:val="24"/>
          <w:lang w:eastAsia="pt-BR"/>
        </w:rPr>
        <w:t>1,01</w:t>
      </w:r>
      <w:r w:rsidRPr="00F02ABE">
        <w:rPr>
          <w:rFonts w:ascii="Times New Roman" w:hAnsi="Times New Roman"/>
          <w:sz w:val="24"/>
          <w:szCs w:val="24"/>
          <w:lang w:eastAsia="pt-BR"/>
        </w:rPr>
        <w:t>%.</w:t>
      </w:r>
    </w:p>
    <w:p w14:paraId="6420C13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57A27B48"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 xml:space="preserve">Dentro do grupo dos Recebimentos Extraorçamentários, há um item denominado “Inscrição de Restos a Pagar Não Processados” que merece destaque. Este item, registrado no BF do lado dos Ingressos, corresponde aos empenhos a liquidar, emitidos no exercício corrente, para compensar/equilibrar a contrapartida do seu registro como despesa (despesas empenhadas) registradas do lado dos Dispêndios. Essa metodologia foi definida pela Lei nº 4.320/1964, que estabelece que </w:t>
      </w:r>
      <w:r w:rsidRPr="00F02ABE">
        <w:rPr>
          <w:rFonts w:ascii="Times New Roman" w:hAnsi="Times New Roman"/>
          <w:i/>
          <w:iCs/>
          <w:sz w:val="24"/>
          <w:szCs w:val="24"/>
          <w:lang w:eastAsia="pt-BR"/>
        </w:rPr>
        <w:t xml:space="preserve">“pertencem ao exercício financeiro as despesas nele legalmente empenhadas” </w:t>
      </w:r>
      <w:r w:rsidRPr="00F02ABE">
        <w:rPr>
          <w:rFonts w:ascii="Times New Roman" w:hAnsi="Times New Roman"/>
          <w:sz w:val="24"/>
          <w:szCs w:val="24"/>
          <w:lang w:eastAsia="pt-BR"/>
        </w:rPr>
        <w:t xml:space="preserve">(art.35). Portanto, as despesas empenhadas, e ainda não pagas até 31/12, são consideradas como restos a pagar. Assim, </w:t>
      </w:r>
      <w:r w:rsidRPr="00F02ABE">
        <w:rPr>
          <w:rFonts w:ascii="Times New Roman" w:hAnsi="Times New Roman"/>
          <w:i/>
          <w:iCs/>
          <w:sz w:val="24"/>
          <w:szCs w:val="24"/>
          <w:lang w:eastAsia="pt-BR"/>
        </w:rPr>
        <w:t xml:space="preserve">"os Restos a Pagar do exercício serão computados na receita extraorçamentária para compensar sua inclusão na despesa orçamentária". </w:t>
      </w:r>
      <w:r w:rsidRPr="00F02ABE">
        <w:rPr>
          <w:rFonts w:ascii="Times New Roman" w:hAnsi="Times New Roman"/>
          <w:sz w:val="24"/>
          <w:szCs w:val="24"/>
          <w:lang w:eastAsia="pt-BR"/>
        </w:rPr>
        <w:t>(art. 103, parágrafo único da Lei nº 4.320/64).</w:t>
      </w:r>
    </w:p>
    <w:p w14:paraId="0F605A7E"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p>
    <w:p w14:paraId="7E7C455F" w14:textId="1903E3BE" w:rsidR="00CB2FF5" w:rsidRDefault="00CB2FF5" w:rsidP="00CB2FF5">
      <w:pPr>
        <w:autoSpaceDE w:val="0"/>
        <w:autoSpaceDN w:val="0"/>
        <w:adjustRightInd w:val="0"/>
        <w:spacing w:after="0" w:line="240" w:lineRule="auto"/>
        <w:ind w:left="1701"/>
        <w:jc w:val="both"/>
        <w:rPr>
          <w:rFonts w:ascii="Times New Roman" w:hAnsi="Times New Roman"/>
          <w:sz w:val="24"/>
          <w:szCs w:val="24"/>
          <w:lang w:eastAsia="pt-BR"/>
        </w:rPr>
      </w:pPr>
      <w:r w:rsidRPr="00F02ABE">
        <w:rPr>
          <w:rFonts w:ascii="Times New Roman" w:hAnsi="Times New Roman"/>
          <w:sz w:val="24"/>
          <w:szCs w:val="24"/>
          <w:lang w:eastAsia="pt-BR"/>
        </w:rPr>
        <w:t>Retomando a análise do grupo dos Ingressos, o item que apresenta a maior representatividade do BF é o d</w:t>
      </w:r>
      <w:r w:rsidR="00806D27">
        <w:rPr>
          <w:rFonts w:ascii="Times New Roman" w:hAnsi="Times New Roman"/>
          <w:sz w:val="24"/>
          <w:szCs w:val="24"/>
          <w:lang w:eastAsia="pt-BR"/>
        </w:rPr>
        <w:t>as</w:t>
      </w:r>
      <w:r w:rsidRPr="00F02ABE">
        <w:rPr>
          <w:rFonts w:ascii="Times New Roman" w:hAnsi="Times New Roman"/>
          <w:sz w:val="24"/>
          <w:szCs w:val="24"/>
          <w:lang w:eastAsia="pt-BR"/>
        </w:rPr>
        <w:t xml:space="preserve"> </w:t>
      </w:r>
      <w:r w:rsidR="00806D27" w:rsidRPr="00F02ABE">
        <w:rPr>
          <w:rFonts w:ascii="Times New Roman" w:hAnsi="Times New Roman"/>
          <w:color w:val="000000"/>
          <w:sz w:val="24"/>
          <w:szCs w:val="24"/>
          <w:lang w:eastAsia="pt-BR"/>
        </w:rPr>
        <w:t>Transferências Financeiras Recebidas</w:t>
      </w:r>
      <w:r w:rsidRPr="00F02ABE">
        <w:rPr>
          <w:rFonts w:ascii="Times New Roman" w:hAnsi="Times New Roman"/>
          <w:sz w:val="24"/>
          <w:szCs w:val="24"/>
          <w:lang w:eastAsia="pt-BR"/>
        </w:rPr>
        <w:t xml:space="preserve">, </w:t>
      </w:r>
      <w:r w:rsidR="00E5175A">
        <w:rPr>
          <w:rFonts w:ascii="Times New Roman" w:hAnsi="Times New Roman"/>
          <w:sz w:val="24"/>
          <w:szCs w:val="24"/>
          <w:lang w:eastAsia="pt-BR"/>
        </w:rPr>
        <w:t xml:space="preserve">totalizando: </w:t>
      </w:r>
      <w:r w:rsidR="00E5175A" w:rsidRPr="00A66015">
        <w:rPr>
          <w:rFonts w:ascii="Times New Roman" w:hAnsi="Times New Roman"/>
          <w:b/>
          <w:bCs/>
          <w:sz w:val="24"/>
          <w:szCs w:val="24"/>
          <w:lang w:eastAsia="pt-BR"/>
        </w:rPr>
        <w:t xml:space="preserve">R$ </w:t>
      </w:r>
      <w:r w:rsidR="00A66015" w:rsidRPr="00A66015">
        <w:rPr>
          <w:rFonts w:ascii="Times New Roman" w:hAnsi="Times New Roman"/>
          <w:b/>
          <w:bCs/>
          <w:color w:val="000000"/>
          <w:sz w:val="24"/>
          <w:szCs w:val="24"/>
          <w:lang w:eastAsia="pt-BR"/>
        </w:rPr>
        <w:t>712.040.953,13</w:t>
      </w:r>
      <w:r w:rsidR="00E5175A">
        <w:rPr>
          <w:rFonts w:ascii="Times New Roman" w:hAnsi="Times New Roman"/>
          <w:sz w:val="24"/>
          <w:szCs w:val="24"/>
          <w:lang w:eastAsia="pt-BR"/>
        </w:rPr>
        <w:t xml:space="preserve">, </w:t>
      </w:r>
      <w:r w:rsidRPr="00F02ABE">
        <w:rPr>
          <w:rFonts w:ascii="Times New Roman" w:hAnsi="Times New Roman"/>
          <w:sz w:val="24"/>
          <w:szCs w:val="24"/>
          <w:lang w:eastAsia="pt-BR"/>
        </w:rPr>
        <w:t xml:space="preserve">que representam </w:t>
      </w:r>
      <w:r w:rsidR="00A66015">
        <w:rPr>
          <w:rFonts w:ascii="Times New Roman" w:hAnsi="Times New Roman"/>
          <w:sz w:val="24"/>
          <w:szCs w:val="24"/>
          <w:lang w:eastAsia="pt-BR"/>
        </w:rPr>
        <w:t>82,48</w:t>
      </w:r>
      <w:r w:rsidRPr="00F02ABE">
        <w:rPr>
          <w:rFonts w:ascii="Times New Roman" w:hAnsi="Times New Roman"/>
          <w:sz w:val="24"/>
          <w:szCs w:val="24"/>
          <w:lang w:eastAsia="pt-BR"/>
        </w:rPr>
        <w:t xml:space="preserve">% do total dos Ingressos, sendo que o mesmo aumentou </w:t>
      </w:r>
      <w:r w:rsidR="00806D27">
        <w:rPr>
          <w:rFonts w:ascii="Times New Roman" w:hAnsi="Times New Roman"/>
          <w:sz w:val="24"/>
          <w:szCs w:val="24"/>
          <w:lang w:eastAsia="pt-BR"/>
        </w:rPr>
        <w:t>1</w:t>
      </w:r>
      <w:r w:rsidR="00A66015">
        <w:rPr>
          <w:rFonts w:ascii="Times New Roman" w:hAnsi="Times New Roman"/>
          <w:sz w:val="24"/>
          <w:szCs w:val="24"/>
          <w:lang w:eastAsia="pt-BR"/>
        </w:rPr>
        <w:t>0,67</w:t>
      </w:r>
      <w:r w:rsidRPr="00F02ABE">
        <w:rPr>
          <w:rFonts w:ascii="Times New Roman" w:hAnsi="Times New Roman"/>
          <w:sz w:val="24"/>
          <w:szCs w:val="24"/>
          <w:lang w:eastAsia="pt-BR"/>
        </w:rPr>
        <w:t>% em relação ao período anterior; seguido d</w:t>
      </w:r>
      <w:r>
        <w:rPr>
          <w:rFonts w:ascii="Times New Roman" w:hAnsi="Times New Roman"/>
          <w:sz w:val="24"/>
          <w:szCs w:val="24"/>
          <w:lang w:eastAsia="pt-BR"/>
        </w:rPr>
        <w:t>os</w:t>
      </w:r>
      <w:r w:rsidRPr="00F02ABE">
        <w:rPr>
          <w:rFonts w:ascii="Times New Roman" w:hAnsi="Times New Roman"/>
          <w:sz w:val="24"/>
          <w:szCs w:val="24"/>
          <w:lang w:eastAsia="pt-BR"/>
        </w:rPr>
        <w:t xml:space="preserve"> </w:t>
      </w:r>
      <w:r w:rsidR="00806D27" w:rsidRPr="00F02ABE">
        <w:rPr>
          <w:rFonts w:ascii="Times New Roman" w:hAnsi="Times New Roman"/>
          <w:color w:val="000000"/>
          <w:sz w:val="24"/>
          <w:szCs w:val="24"/>
          <w:lang w:eastAsia="pt-BR"/>
        </w:rPr>
        <w:t xml:space="preserve">Recebimentos Extraorçamentários </w:t>
      </w:r>
      <w:r w:rsidRPr="00F02ABE">
        <w:rPr>
          <w:rFonts w:ascii="Times New Roman" w:hAnsi="Times New Roman"/>
          <w:sz w:val="24"/>
          <w:szCs w:val="24"/>
          <w:lang w:eastAsia="pt-BR"/>
        </w:rPr>
        <w:t xml:space="preserve">que contribui com </w:t>
      </w:r>
      <w:r w:rsidR="00A66015">
        <w:rPr>
          <w:rFonts w:ascii="Times New Roman" w:hAnsi="Times New Roman"/>
          <w:sz w:val="24"/>
          <w:szCs w:val="24"/>
          <w:lang w:eastAsia="pt-BR"/>
        </w:rPr>
        <w:t>11,91</w:t>
      </w:r>
      <w:r w:rsidRPr="00F02ABE">
        <w:rPr>
          <w:rFonts w:ascii="Times New Roman" w:hAnsi="Times New Roman"/>
          <w:sz w:val="24"/>
          <w:szCs w:val="24"/>
          <w:lang w:eastAsia="pt-BR"/>
        </w:rPr>
        <w:t>%; sendo</w:t>
      </w:r>
      <w:r>
        <w:rPr>
          <w:rFonts w:ascii="Times New Roman" w:hAnsi="Times New Roman"/>
          <w:sz w:val="24"/>
          <w:szCs w:val="24"/>
          <w:lang w:eastAsia="pt-BR"/>
        </w:rPr>
        <w:t xml:space="preserve"> que</w:t>
      </w:r>
      <w:r w:rsidRPr="00F02ABE">
        <w:rPr>
          <w:rFonts w:ascii="Times New Roman" w:hAnsi="Times New Roman"/>
          <w:sz w:val="24"/>
          <w:szCs w:val="24"/>
          <w:lang w:eastAsia="pt-BR"/>
        </w:rPr>
        <w:t xml:space="preserve"> este teve um </w:t>
      </w:r>
      <w:r>
        <w:rPr>
          <w:rFonts w:ascii="Times New Roman" w:hAnsi="Times New Roman"/>
          <w:sz w:val="24"/>
          <w:szCs w:val="24"/>
          <w:lang w:eastAsia="pt-BR"/>
        </w:rPr>
        <w:t>acré</w:t>
      </w:r>
      <w:r w:rsidRPr="00F02ABE">
        <w:rPr>
          <w:rFonts w:ascii="Times New Roman" w:hAnsi="Times New Roman"/>
          <w:sz w:val="24"/>
          <w:szCs w:val="24"/>
          <w:lang w:eastAsia="pt-BR"/>
        </w:rPr>
        <w:t xml:space="preserve">scimo de </w:t>
      </w:r>
      <w:r>
        <w:rPr>
          <w:rFonts w:ascii="Times New Roman" w:hAnsi="Times New Roman"/>
          <w:sz w:val="24"/>
          <w:szCs w:val="24"/>
          <w:lang w:eastAsia="pt-BR"/>
        </w:rPr>
        <w:t>1</w:t>
      </w:r>
      <w:r w:rsidR="00A66015">
        <w:rPr>
          <w:rFonts w:ascii="Times New Roman" w:hAnsi="Times New Roman"/>
          <w:sz w:val="24"/>
          <w:szCs w:val="24"/>
          <w:lang w:eastAsia="pt-BR"/>
        </w:rPr>
        <w:t>2,29</w:t>
      </w:r>
      <w:r w:rsidRPr="00F02ABE">
        <w:rPr>
          <w:rFonts w:ascii="Times New Roman" w:hAnsi="Times New Roman"/>
          <w:sz w:val="24"/>
          <w:szCs w:val="24"/>
          <w:lang w:eastAsia="pt-BR"/>
        </w:rPr>
        <w:t xml:space="preserve">% em relação ao </w:t>
      </w:r>
      <w:r>
        <w:rPr>
          <w:rFonts w:ascii="Times New Roman" w:hAnsi="Times New Roman"/>
          <w:sz w:val="24"/>
          <w:szCs w:val="24"/>
          <w:lang w:eastAsia="pt-BR"/>
        </w:rPr>
        <w:t>mesmo</w:t>
      </w:r>
      <w:r w:rsidRPr="00F02ABE">
        <w:rPr>
          <w:rFonts w:ascii="Times New Roman" w:hAnsi="Times New Roman"/>
          <w:sz w:val="24"/>
          <w:szCs w:val="24"/>
          <w:lang w:eastAsia="pt-BR"/>
        </w:rPr>
        <w:t xml:space="preserve"> trimestre do exercício anterior.</w:t>
      </w:r>
    </w:p>
    <w:p w14:paraId="0FEA1D2E" w14:textId="236E39FD" w:rsidR="00A66015" w:rsidRDefault="00A66015" w:rsidP="00CB2FF5">
      <w:pPr>
        <w:autoSpaceDE w:val="0"/>
        <w:autoSpaceDN w:val="0"/>
        <w:adjustRightInd w:val="0"/>
        <w:spacing w:after="0" w:line="240" w:lineRule="auto"/>
        <w:ind w:left="1701"/>
        <w:jc w:val="both"/>
        <w:rPr>
          <w:rFonts w:ascii="Times New Roman" w:hAnsi="Times New Roman"/>
          <w:sz w:val="24"/>
          <w:szCs w:val="24"/>
          <w:lang w:eastAsia="pt-BR"/>
        </w:rPr>
      </w:pPr>
    </w:p>
    <w:p w14:paraId="56B3754D" w14:textId="3DA7F55F" w:rsidR="00A66015" w:rsidRDefault="00A66015" w:rsidP="00CB2FF5">
      <w:pPr>
        <w:autoSpaceDE w:val="0"/>
        <w:autoSpaceDN w:val="0"/>
        <w:adjustRightInd w:val="0"/>
        <w:spacing w:after="0" w:line="240" w:lineRule="auto"/>
        <w:ind w:left="1701"/>
        <w:jc w:val="both"/>
        <w:rPr>
          <w:rFonts w:ascii="Times New Roman" w:hAnsi="Times New Roman"/>
          <w:sz w:val="24"/>
          <w:szCs w:val="24"/>
          <w:lang w:eastAsia="pt-BR"/>
        </w:rPr>
      </w:pPr>
    </w:p>
    <w:p w14:paraId="6F7D14A7" w14:textId="2C8E2E06" w:rsidR="00A66015" w:rsidRDefault="00A66015" w:rsidP="00CB2FF5">
      <w:pPr>
        <w:autoSpaceDE w:val="0"/>
        <w:autoSpaceDN w:val="0"/>
        <w:adjustRightInd w:val="0"/>
        <w:spacing w:after="0" w:line="240" w:lineRule="auto"/>
        <w:ind w:left="1701"/>
        <w:jc w:val="both"/>
        <w:rPr>
          <w:rFonts w:ascii="Times New Roman" w:hAnsi="Times New Roman"/>
          <w:sz w:val="24"/>
          <w:szCs w:val="24"/>
          <w:lang w:eastAsia="pt-BR"/>
        </w:rPr>
      </w:pPr>
    </w:p>
    <w:p w14:paraId="6588709F" w14:textId="3E5578CD" w:rsidR="00A66015" w:rsidRDefault="00A66015" w:rsidP="00CB2FF5">
      <w:pPr>
        <w:autoSpaceDE w:val="0"/>
        <w:autoSpaceDN w:val="0"/>
        <w:adjustRightInd w:val="0"/>
        <w:spacing w:after="0" w:line="240" w:lineRule="auto"/>
        <w:ind w:left="1701"/>
        <w:jc w:val="both"/>
        <w:rPr>
          <w:rFonts w:ascii="Times New Roman" w:hAnsi="Times New Roman"/>
          <w:sz w:val="24"/>
          <w:szCs w:val="24"/>
          <w:lang w:eastAsia="pt-BR"/>
        </w:rPr>
      </w:pPr>
    </w:p>
    <w:p w14:paraId="3DB9A48F" w14:textId="77777777" w:rsidR="001B5390" w:rsidRDefault="001B5390" w:rsidP="00CB2FF5">
      <w:pPr>
        <w:autoSpaceDE w:val="0"/>
        <w:autoSpaceDN w:val="0"/>
        <w:adjustRightInd w:val="0"/>
        <w:spacing w:after="0" w:line="240" w:lineRule="auto"/>
        <w:ind w:left="1701"/>
        <w:jc w:val="both"/>
        <w:rPr>
          <w:rFonts w:ascii="Times New Roman" w:hAnsi="Times New Roman"/>
          <w:b/>
          <w:color w:val="000000"/>
          <w:sz w:val="24"/>
          <w:szCs w:val="24"/>
          <w:lang w:eastAsia="pt-BR"/>
        </w:rPr>
      </w:pPr>
    </w:p>
    <w:p w14:paraId="09E266F0" w14:textId="00CC6E8C" w:rsidR="00CB2FF5" w:rsidRDefault="00CB2FF5" w:rsidP="00CB2FF5">
      <w:pPr>
        <w:autoSpaceDE w:val="0"/>
        <w:autoSpaceDN w:val="0"/>
        <w:adjustRightInd w:val="0"/>
        <w:spacing w:after="0" w:line="240" w:lineRule="auto"/>
        <w:ind w:left="1701"/>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lastRenderedPageBreak/>
        <w:t>Tabela 22 - Composição dos ingressos financeiros do IFPI</w:t>
      </w:r>
    </w:p>
    <w:p w14:paraId="4D93AAA7" w14:textId="77777777" w:rsidR="00CB2FF5" w:rsidRDefault="00CB2FF5" w:rsidP="00CB2FF5">
      <w:pPr>
        <w:autoSpaceDE w:val="0"/>
        <w:autoSpaceDN w:val="0"/>
        <w:adjustRightInd w:val="0"/>
        <w:spacing w:after="0" w:line="240" w:lineRule="auto"/>
        <w:ind w:left="1701"/>
        <w:jc w:val="both"/>
        <w:rPr>
          <w:rFonts w:ascii="Times New Roman" w:hAnsi="Times New Roman"/>
          <w:b/>
          <w:color w:val="000000"/>
          <w:sz w:val="24"/>
          <w:szCs w:val="24"/>
          <w:lang w:eastAsia="pt-BR"/>
        </w:rPr>
      </w:pPr>
    </w:p>
    <w:p w14:paraId="3506A71E" w14:textId="5312F662" w:rsidR="00CB2FF5" w:rsidRPr="00F02ABE" w:rsidRDefault="00CB2FF5" w:rsidP="00CB2FF5">
      <w:pPr>
        <w:autoSpaceDE w:val="0"/>
        <w:autoSpaceDN w:val="0"/>
        <w:adjustRightInd w:val="0"/>
        <w:spacing w:after="0" w:line="240" w:lineRule="auto"/>
        <w:ind w:left="1701"/>
        <w:jc w:val="right"/>
        <w:rPr>
          <w:rFonts w:ascii="Times New Roman" w:hAnsi="Times New Roman"/>
          <w:bCs/>
          <w:color w:val="000000"/>
          <w:sz w:val="24"/>
          <w:szCs w:val="24"/>
          <w:lang w:eastAsia="pt-BR"/>
        </w:rPr>
      </w:pP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1962"/>
        <w:gridCol w:w="1833"/>
        <w:gridCol w:w="1886"/>
        <w:gridCol w:w="1912"/>
      </w:tblGrid>
      <w:tr w:rsidR="00CB2FF5" w:rsidRPr="00F02ABE" w14:paraId="78BBD1E4" w14:textId="77777777" w:rsidTr="00242CBD">
        <w:tc>
          <w:tcPr>
            <w:tcW w:w="4928" w:type="dxa"/>
          </w:tcPr>
          <w:p w14:paraId="5B45EEFB"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INGRESSOS</w:t>
            </w:r>
          </w:p>
        </w:tc>
        <w:tc>
          <w:tcPr>
            <w:tcW w:w="1984" w:type="dxa"/>
          </w:tcPr>
          <w:p w14:paraId="24EDFF28"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4</w:t>
            </w:r>
          </w:p>
        </w:tc>
        <w:tc>
          <w:tcPr>
            <w:tcW w:w="1843" w:type="dxa"/>
          </w:tcPr>
          <w:p w14:paraId="5962718E"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3</w:t>
            </w:r>
          </w:p>
        </w:tc>
        <w:tc>
          <w:tcPr>
            <w:tcW w:w="1985" w:type="dxa"/>
          </w:tcPr>
          <w:p w14:paraId="30AB2E20"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AH (%)</w:t>
            </w:r>
          </w:p>
        </w:tc>
        <w:tc>
          <w:tcPr>
            <w:tcW w:w="1984" w:type="dxa"/>
          </w:tcPr>
          <w:p w14:paraId="32155DCA"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AV (%)202</w:t>
            </w:r>
            <w:r>
              <w:rPr>
                <w:rFonts w:ascii="Times New Roman" w:hAnsi="Times New Roman"/>
                <w:b/>
                <w:color w:val="000000"/>
                <w:sz w:val="24"/>
                <w:szCs w:val="24"/>
                <w:lang w:eastAsia="pt-BR"/>
              </w:rPr>
              <w:t>4</w:t>
            </w:r>
          </w:p>
        </w:tc>
      </w:tr>
      <w:tr w:rsidR="00CB2FF5" w:rsidRPr="00F02ABE" w14:paraId="6E5057C8" w14:textId="77777777" w:rsidTr="00242CBD">
        <w:tc>
          <w:tcPr>
            <w:tcW w:w="4928" w:type="dxa"/>
          </w:tcPr>
          <w:p w14:paraId="58700AEB"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Receitas Orçamentárias</w:t>
            </w:r>
          </w:p>
        </w:tc>
        <w:tc>
          <w:tcPr>
            <w:tcW w:w="1984" w:type="dxa"/>
          </w:tcPr>
          <w:p w14:paraId="5D5FB335" w14:textId="72AB4771" w:rsidR="00CB2FF5" w:rsidRPr="00F02ABE" w:rsidRDefault="0010323A"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901.905,47</w:t>
            </w:r>
          </w:p>
        </w:tc>
        <w:tc>
          <w:tcPr>
            <w:tcW w:w="1843" w:type="dxa"/>
          </w:tcPr>
          <w:p w14:paraId="3B6AF04A" w14:textId="6F3E5F6C" w:rsidR="00CB2FF5" w:rsidRPr="00F02ABE" w:rsidRDefault="0010323A"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914.597,57</w:t>
            </w:r>
          </w:p>
        </w:tc>
        <w:tc>
          <w:tcPr>
            <w:tcW w:w="1985" w:type="dxa"/>
          </w:tcPr>
          <w:p w14:paraId="10912047" w14:textId="38B5878E" w:rsidR="00CB2FF5" w:rsidRPr="00F02ABE" w:rsidRDefault="0010323A" w:rsidP="00242CBD">
            <w:pPr>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-1,39</w:t>
            </w:r>
          </w:p>
        </w:tc>
        <w:tc>
          <w:tcPr>
            <w:tcW w:w="1984" w:type="dxa"/>
          </w:tcPr>
          <w:p w14:paraId="2A8FEBA8" w14:textId="7E31E3B7" w:rsidR="00CB2FF5" w:rsidRPr="00F02ABE" w:rsidRDefault="0010323A" w:rsidP="00242CBD">
            <w:pPr>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0,10</w:t>
            </w:r>
          </w:p>
        </w:tc>
      </w:tr>
      <w:tr w:rsidR="00CB2FF5" w:rsidRPr="00F02ABE" w14:paraId="0F51BCBA" w14:textId="77777777" w:rsidTr="00242CBD">
        <w:tc>
          <w:tcPr>
            <w:tcW w:w="4928" w:type="dxa"/>
          </w:tcPr>
          <w:p w14:paraId="1B448600"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Transferências Financeiras Recebidas</w:t>
            </w:r>
          </w:p>
        </w:tc>
        <w:tc>
          <w:tcPr>
            <w:tcW w:w="1984" w:type="dxa"/>
          </w:tcPr>
          <w:p w14:paraId="2ED568AC" w14:textId="3CAE1147" w:rsidR="00CB2FF5" w:rsidRPr="00F02ABE" w:rsidRDefault="0010323A"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712.040.953,13</w:t>
            </w:r>
          </w:p>
        </w:tc>
        <w:tc>
          <w:tcPr>
            <w:tcW w:w="1843" w:type="dxa"/>
          </w:tcPr>
          <w:p w14:paraId="4C1D4A94" w14:textId="14EF4AE0" w:rsidR="00CB2FF5" w:rsidRPr="00F02ABE" w:rsidRDefault="0010323A"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643.575.781,25</w:t>
            </w:r>
          </w:p>
        </w:tc>
        <w:tc>
          <w:tcPr>
            <w:tcW w:w="1985" w:type="dxa"/>
          </w:tcPr>
          <w:p w14:paraId="1AC2DD2B" w14:textId="0FFD231A" w:rsidR="00CB2FF5" w:rsidRPr="00F02ABE" w:rsidRDefault="0010323A" w:rsidP="00242CBD">
            <w:pPr>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10,67</w:t>
            </w:r>
          </w:p>
        </w:tc>
        <w:tc>
          <w:tcPr>
            <w:tcW w:w="1984" w:type="dxa"/>
          </w:tcPr>
          <w:p w14:paraId="40AB8673" w14:textId="75A2B41F" w:rsidR="00CB2FF5" w:rsidRPr="00F02ABE" w:rsidRDefault="0010323A" w:rsidP="00242CBD">
            <w:pPr>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82,48</w:t>
            </w:r>
          </w:p>
        </w:tc>
      </w:tr>
      <w:tr w:rsidR="00CB2FF5" w:rsidRPr="00F02ABE" w14:paraId="67635455" w14:textId="77777777" w:rsidTr="00242CBD">
        <w:tc>
          <w:tcPr>
            <w:tcW w:w="4928" w:type="dxa"/>
          </w:tcPr>
          <w:p w14:paraId="4DC1E1F8"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Recebimentos Extraorçamentários </w:t>
            </w:r>
          </w:p>
        </w:tc>
        <w:tc>
          <w:tcPr>
            <w:tcW w:w="1984" w:type="dxa"/>
          </w:tcPr>
          <w:p w14:paraId="2206BBFD" w14:textId="43194BB2" w:rsidR="00CB2FF5" w:rsidRPr="00F02ABE" w:rsidRDefault="00A66015"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102.799.614,07</w:t>
            </w:r>
          </w:p>
        </w:tc>
        <w:tc>
          <w:tcPr>
            <w:tcW w:w="1843" w:type="dxa"/>
          </w:tcPr>
          <w:p w14:paraId="7766AB07" w14:textId="27F76BF5" w:rsidR="00CB2FF5" w:rsidRPr="00F02ABE" w:rsidRDefault="0010323A"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91.551.499,92</w:t>
            </w:r>
          </w:p>
        </w:tc>
        <w:tc>
          <w:tcPr>
            <w:tcW w:w="1985" w:type="dxa"/>
          </w:tcPr>
          <w:p w14:paraId="38BC2EBE" w14:textId="5D02BF99" w:rsidR="00CB2FF5" w:rsidRPr="00F02ABE" w:rsidRDefault="0010323A" w:rsidP="00242CBD">
            <w:pPr>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12,29</w:t>
            </w:r>
          </w:p>
        </w:tc>
        <w:tc>
          <w:tcPr>
            <w:tcW w:w="1984" w:type="dxa"/>
          </w:tcPr>
          <w:p w14:paraId="265A0AF6" w14:textId="6B089E71" w:rsidR="00CB2FF5" w:rsidRPr="00F02ABE" w:rsidRDefault="0010323A"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11,91</w:t>
            </w:r>
          </w:p>
        </w:tc>
      </w:tr>
      <w:tr w:rsidR="00CB2FF5" w:rsidRPr="00F02ABE" w14:paraId="3F8C6E46" w14:textId="77777777" w:rsidTr="00242CBD">
        <w:tc>
          <w:tcPr>
            <w:tcW w:w="4928" w:type="dxa"/>
          </w:tcPr>
          <w:p w14:paraId="68A74054"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Caixa e Equivalentes de Caixa </w:t>
            </w:r>
          </w:p>
        </w:tc>
        <w:tc>
          <w:tcPr>
            <w:tcW w:w="1984" w:type="dxa"/>
          </w:tcPr>
          <w:p w14:paraId="735BD597" w14:textId="39E4903B" w:rsidR="00CB2FF5" w:rsidRPr="00F02ABE" w:rsidRDefault="00A66015"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47.516.193,58</w:t>
            </w:r>
          </w:p>
        </w:tc>
        <w:tc>
          <w:tcPr>
            <w:tcW w:w="1843" w:type="dxa"/>
          </w:tcPr>
          <w:p w14:paraId="251E0475" w14:textId="14A096CE" w:rsidR="00CB2FF5" w:rsidRPr="00F02ABE" w:rsidRDefault="0010323A"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41.588.797,93</w:t>
            </w:r>
          </w:p>
        </w:tc>
        <w:tc>
          <w:tcPr>
            <w:tcW w:w="1985" w:type="dxa"/>
          </w:tcPr>
          <w:p w14:paraId="0B9DC710" w14:textId="18DEF18D" w:rsidR="00CB2FF5" w:rsidRPr="00F02ABE" w:rsidRDefault="0010323A"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14,25</w:t>
            </w:r>
          </w:p>
        </w:tc>
        <w:tc>
          <w:tcPr>
            <w:tcW w:w="1984" w:type="dxa"/>
          </w:tcPr>
          <w:p w14:paraId="3EEA5A06" w14:textId="1F1953B2" w:rsidR="00CB2FF5" w:rsidRPr="00F02ABE" w:rsidRDefault="0010323A"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5,50</w:t>
            </w:r>
          </w:p>
        </w:tc>
      </w:tr>
      <w:tr w:rsidR="00CB2FF5" w:rsidRPr="00F02ABE" w14:paraId="2BB9B303" w14:textId="77777777" w:rsidTr="00242CBD">
        <w:tc>
          <w:tcPr>
            <w:tcW w:w="4928" w:type="dxa"/>
          </w:tcPr>
          <w:p w14:paraId="096F41F5"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TOTAL</w:t>
            </w:r>
          </w:p>
        </w:tc>
        <w:tc>
          <w:tcPr>
            <w:tcW w:w="1984" w:type="dxa"/>
          </w:tcPr>
          <w:p w14:paraId="0C421545" w14:textId="615A47D4" w:rsidR="00CB2FF5" w:rsidRPr="00F02ABE" w:rsidRDefault="0010323A" w:rsidP="00242CBD">
            <w:pPr>
              <w:spacing w:after="0" w:line="240" w:lineRule="auto"/>
              <w:jc w:val="right"/>
              <w:rPr>
                <w:rFonts w:ascii="Times New Roman" w:hAnsi="Times New Roman"/>
                <w:b/>
                <w:color w:val="000000"/>
                <w:sz w:val="24"/>
                <w:szCs w:val="24"/>
                <w:lang w:eastAsia="pt-BR"/>
              </w:rPr>
            </w:pPr>
            <w:r>
              <w:rPr>
                <w:rFonts w:ascii="Times New Roman" w:hAnsi="Times New Roman"/>
                <w:b/>
                <w:color w:val="000000"/>
                <w:sz w:val="24"/>
                <w:szCs w:val="24"/>
                <w:lang w:eastAsia="pt-BR"/>
              </w:rPr>
              <w:t>863.258.666,25</w:t>
            </w:r>
          </w:p>
        </w:tc>
        <w:tc>
          <w:tcPr>
            <w:tcW w:w="1843" w:type="dxa"/>
          </w:tcPr>
          <w:p w14:paraId="5E36B38F" w14:textId="6B0108D6" w:rsidR="00CB2FF5" w:rsidRPr="00F02ABE" w:rsidRDefault="0010323A" w:rsidP="00242CBD">
            <w:pPr>
              <w:spacing w:after="0" w:line="240" w:lineRule="auto"/>
              <w:jc w:val="right"/>
              <w:rPr>
                <w:rFonts w:ascii="Times New Roman" w:hAnsi="Times New Roman"/>
                <w:b/>
                <w:color w:val="000000"/>
                <w:sz w:val="24"/>
                <w:szCs w:val="24"/>
                <w:lang w:eastAsia="pt-BR"/>
              </w:rPr>
            </w:pPr>
            <w:r>
              <w:rPr>
                <w:rFonts w:ascii="Times New Roman" w:hAnsi="Times New Roman"/>
                <w:b/>
                <w:color w:val="000000"/>
                <w:sz w:val="24"/>
                <w:szCs w:val="24"/>
                <w:lang w:eastAsia="pt-BR"/>
              </w:rPr>
              <w:t>777.630.676,67</w:t>
            </w:r>
          </w:p>
        </w:tc>
        <w:tc>
          <w:tcPr>
            <w:tcW w:w="1985" w:type="dxa"/>
          </w:tcPr>
          <w:p w14:paraId="73935754" w14:textId="0D2095AB" w:rsidR="00CB2FF5" w:rsidRPr="00F02ABE" w:rsidRDefault="0010323A" w:rsidP="00242CBD">
            <w:pPr>
              <w:autoSpaceDE w:val="0"/>
              <w:autoSpaceDN w:val="0"/>
              <w:adjustRightInd w:val="0"/>
              <w:spacing w:after="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11,01</w:t>
            </w:r>
          </w:p>
        </w:tc>
        <w:tc>
          <w:tcPr>
            <w:tcW w:w="1984" w:type="dxa"/>
          </w:tcPr>
          <w:p w14:paraId="768A1E4F"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100</w:t>
            </w:r>
          </w:p>
        </w:tc>
      </w:tr>
    </w:tbl>
    <w:p w14:paraId="0E154CBD" w14:textId="77777777" w:rsidR="00CB2FF5" w:rsidRDefault="00CB2FF5" w:rsidP="00CB2FF5">
      <w:pPr>
        <w:autoSpaceDE w:val="0"/>
        <w:autoSpaceDN w:val="0"/>
        <w:adjustRightInd w:val="0"/>
        <w:spacing w:after="0" w:line="240" w:lineRule="auto"/>
        <w:ind w:left="1701"/>
        <w:jc w:val="both"/>
        <w:rPr>
          <w:rFonts w:ascii="Times New Roman" w:hAnsi="Times New Roman"/>
          <w:sz w:val="24"/>
          <w:szCs w:val="24"/>
        </w:rPr>
      </w:pPr>
      <w:r w:rsidRPr="00F02ABE">
        <w:rPr>
          <w:rFonts w:ascii="Times New Roman" w:hAnsi="Times New Roman"/>
          <w:sz w:val="24"/>
          <w:szCs w:val="24"/>
        </w:rPr>
        <w:t>Fonte: SIAFI, 202</w:t>
      </w:r>
      <w:r>
        <w:rPr>
          <w:rFonts w:ascii="Times New Roman" w:hAnsi="Times New Roman"/>
          <w:sz w:val="24"/>
          <w:szCs w:val="24"/>
        </w:rPr>
        <w:t>4</w:t>
      </w:r>
      <w:r w:rsidRPr="00F02ABE">
        <w:rPr>
          <w:rFonts w:ascii="Times New Roman" w:hAnsi="Times New Roman"/>
          <w:sz w:val="24"/>
          <w:szCs w:val="24"/>
        </w:rPr>
        <w:t xml:space="preserve"> e 202</w:t>
      </w:r>
      <w:r>
        <w:rPr>
          <w:rFonts w:ascii="Times New Roman" w:hAnsi="Times New Roman"/>
          <w:sz w:val="24"/>
          <w:szCs w:val="24"/>
        </w:rPr>
        <w:t>3</w:t>
      </w:r>
      <w:r w:rsidRPr="00F02ABE">
        <w:rPr>
          <w:rFonts w:ascii="Times New Roman" w:hAnsi="Times New Roman"/>
          <w:sz w:val="24"/>
          <w:szCs w:val="24"/>
        </w:rPr>
        <w:t>.</w:t>
      </w:r>
    </w:p>
    <w:p w14:paraId="622DAF8C"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rPr>
      </w:pPr>
    </w:p>
    <w:p w14:paraId="0DB4733E" w14:textId="6134DEE5" w:rsidR="00CB2FF5" w:rsidRPr="00F02ABE"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r w:rsidRPr="00F02ABE">
        <w:rPr>
          <w:rFonts w:ascii="Times New Roman" w:hAnsi="Times New Roman"/>
          <w:sz w:val="24"/>
          <w:szCs w:val="24"/>
          <w:lang w:eastAsia="pt-BR"/>
        </w:rPr>
        <w:t xml:space="preserve">As Transferências Financeiras Recebidas – </w:t>
      </w:r>
      <w:r w:rsidRPr="00F02ABE">
        <w:rPr>
          <w:rFonts w:ascii="Times New Roman" w:hAnsi="Times New Roman"/>
          <w:i/>
          <w:iCs/>
          <w:sz w:val="24"/>
          <w:szCs w:val="24"/>
          <w:lang w:eastAsia="pt-BR"/>
        </w:rPr>
        <w:t xml:space="preserve">Resultantes da Execução Orçamentária </w:t>
      </w:r>
      <w:r w:rsidRPr="00F02ABE">
        <w:rPr>
          <w:rFonts w:ascii="Times New Roman" w:hAnsi="Times New Roman"/>
          <w:sz w:val="24"/>
          <w:szCs w:val="24"/>
          <w:lang w:eastAsia="pt-BR"/>
        </w:rPr>
        <w:t>-, são compostas, em sua grande maioria, pelas rubricas: a) repasse e b) sub-repasse. Elas representam as disponibilidades financeiras recebidas correspondentes aos recursos orçamentários registrados no Balanço Orçamentário e consignados na LOA, da seguinte forma:</w:t>
      </w:r>
    </w:p>
    <w:p w14:paraId="5EB5BBC8" w14:textId="77777777" w:rsidR="00CB2FF5" w:rsidRPr="00F02ABE"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p>
    <w:p w14:paraId="7CF1D293" w14:textId="77777777" w:rsidR="00CB2FF5" w:rsidRPr="00F02ABE"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r w:rsidRPr="00F02ABE">
        <w:rPr>
          <w:rFonts w:ascii="Times New Roman" w:hAnsi="Times New Roman"/>
          <w:sz w:val="24"/>
          <w:szCs w:val="24"/>
          <w:lang w:eastAsia="pt-BR"/>
        </w:rPr>
        <w:t>a) Recursos financeiros recebidos pelo IFPI vinculado ao MEC: repasse;</w:t>
      </w:r>
    </w:p>
    <w:p w14:paraId="64285952" w14:textId="77777777" w:rsidR="00CB2FF5" w:rsidRPr="00F02ABE"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r w:rsidRPr="00F02ABE">
        <w:rPr>
          <w:rFonts w:ascii="Times New Roman" w:hAnsi="Times New Roman"/>
          <w:sz w:val="24"/>
          <w:szCs w:val="24"/>
          <w:lang w:eastAsia="pt-BR"/>
        </w:rPr>
        <w:t xml:space="preserve">b) Recursos financeiros recebidos pelas unidades gestoras e </w:t>
      </w:r>
      <w:r w:rsidRPr="00F02ABE">
        <w:rPr>
          <w:rFonts w:ascii="Times New Roman" w:hAnsi="Times New Roman"/>
          <w:i/>
          <w:iCs/>
          <w:sz w:val="24"/>
          <w:szCs w:val="24"/>
          <w:lang w:eastAsia="pt-BR"/>
        </w:rPr>
        <w:t xml:space="preserve">campi </w:t>
      </w:r>
      <w:r w:rsidRPr="00F02ABE">
        <w:rPr>
          <w:rFonts w:ascii="Times New Roman" w:hAnsi="Times New Roman"/>
          <w:sz w:val="24"/>
          <w:szCs w:val="24"/>
          <w:lang w:eastAsia="pt-BR"/>
        </w:rPr>
        <w:t>de cada instituto: sub-repasse.</w:t>
      </w:r>
    </w:p>
    <w:p w14:paraId="7AF78BCE" w14:textId="77777777" w:rsidR="00CB2FF5" w:rsidRPr="00F02ABE"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p>
    <w:p w14:paraId="05BB690E" w14:textId="77777777" w:rsidR="00CB2FF5"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r>
        <w:rPr>
          <w:rFonts w:ascii="Times New Roman" w:hAnsi="Times New Roman"/>
          <w:sz w:val="24"/>
          <w:szCs w:val="24"/>
          <w:lang w:eastAsia="pt-BR"/>
        </w:rPr>
        <w:t>Os Recebimentos Extraorçamentários são compostos na sua grande maioria pela Inscrição de Restos a Pagar Processados e Não Processados.</w:t>
      </w:r>
    </w:p>
    <w:p w14:paraId="01BA0473" w14:textId="77777777" w:rsidR="00CB2FF5"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p>
    <w:p w14:paraId="58495265" w14:textId="0D536A0F" w:rsidR="00CB2FF5" w:rsidRPr="00F02ABE"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r w:rsidRPr="00F02ABE">
        <w:rPr>
          <w:rFonts w:ascii="Times New Roman" w:hAnsi="Times New Roman"/>
          <w:sz w:val="24"/>
          <w:szCs w:val="24"/>
          <w:lang w:eastAsia="pt-BR"/>
        </w:rPr>
        <w:t xml:space="preserve">Pelos dados da tabela abaixo, verifica-se que </w:t>
      </w:r>
      <w:r>
        <w:rPr>
          <w:rFonts w:ascii="Times New Roman" w:hAnsi="Times New Roman"/>
          <w:sz w:val="24"/>
          <w:szCs w:val="24"/>
          <w:lang w:eastAsia="pt-BR"/>
        </w:rPr>
        <w:t xml:space="preserve">as </w:t>
      </w:r>
      <w:r w:rsidR="000E734A">
        <w:rPr>
          <w:rFonts w:ascii="Times New Roman" w:hAnsi="Times New Roman"/>
          <w:sz w:val="24"/>
          <w:szCs w:val="24"/>
          <w:lang w:eastAsia="pt-BR"/>
        </w:rPr>
        <w:t>Transferências Financeiras Recebidas</w:t>
      </w:r>
      <w:r>
        <w:rPr>
          <w:rFonts w:ascii="Times New Roman" w:hAnsi="Times New Roman"/>
          <w:sz w:val="24"/>
          <w:szCs w:val="24"/>
          <w:lang w:eastAsia="pt-BR"/>
        </w:rPr>
        <w:t xml:space="preserve"> </w:t>
      </w:r>
      <w:r w:rsidRPr="00F02ABE">
        <w:rPr>
          <w:rFonts w:ascii="Times New Roman" w:hAnsi="Times New Roman"/>
          <w:sz w:val="24"/>
          <w:szCs w:val="24"/>
          <w:lang w:eastAsia="pt-BR"/>
        </w:rPr>
        <w:t xml:space="preserve">correspondem a </w:t>
      </w:r>
      <w:r w:rsidR="001C2008">
        <w:rPr>
          <w:rFonts w:ascii="Times New Roman" w:hAnsi="Times New Roman"/>
          <w:sz w:val="24"/>
          <w:szCs w:val="24"/>
          <w:lang w:eastAsia="pt-BR"/>
        </w:rPr>
        <w:t>82,48</w:t>
      </w:r>
      <w:r w:rsidRPr="00F02ABE">
        <w:rPr>
          <w:rFonts w:ascii="Times New Roman" w:hAnsi="Times New Roman"/>
          <w:sz w:val="24"/>
          <w:szCs w:val="24"/>
          <w:lang w:eastAsia="pt-BR"/>
        </w:rPr>
        <w:t xml:space="preserve">% do total dos Ingressos. Dos itens que </w:t>
      </w:r>
      <w:r>
        <w:rPr>
          <w:rFonts w:ascii="Times New Roman" w:hAnsi="Times New Roman"/>
          <w:sz w:val="24"/>
          <w:szCs w:val="24"/>
          <w:lang w:eastAsia="pt-BR"/>
        </w:rPr>
        <w:t>as</w:t>
      </w:r>
      <w:r w:rsidRPr="00F02ABE">
        <w:rPr>
          <w:rFonts w:ascii="Times New Roman" w:hAnsi="Times New Roman"/>
          <w:sz w:val="24"/>
          <w:szCs w:val="24"/>
          <w:lang w:eastAsia="pt-BR"/>
        </w:rPr>
        <w:t xml:space="preserve"> compõem, </w:t>
      </w:r>
      <w:r>
        <w:rPr>
          <w:rFonts w:ascii="Times New Roman" w:hAnsi="Times New Roman"/>
          <w:sz w:val="24"/>
          <w:szCs w:val="24"/>
          <w:lang w:eastAsia="pt-BR"/>
        </w:rPr>
        <w:t>a</w:t>
      </w:r>
      <w:r w:rsidR="006F4613">
        <w:rPr>
          <w:rFonts w:ascii="Times New Roman" w:hAnsi="Times New Roman"/>
          <w:sz w:val="24"/>
          <w:szCs w:val="24"/>
          <w:lang w:eastAsia="pt-BR"/>
        </w:rPr>
        <w:t>s</w:t>
      </w:r>
      <w:r>
        <w:rPr>
          <w:rFonts w:ascii="Times New Roman" w:hAnsi="Times New Roman"/>
          <w:sz w:val="24"/>
          <w:szCs w:val="24"/>
          <w:lang w:eastAsia="pt-BR"/>
        </w:rPr>
        <w:t xml:space="preserve"> </w:t>
      </w:r>
      <w:r w:rsidR="006F4613">
        <w:rPr>
          <w:rFonts w:ascii="Times New Roman" w:hAnsi="Times New Roman"/>
          <w:sz w:val="24"/>
          <w:szCs w:val="24"/>
          <w:lang w:eastAsia="pt-BR"/>
        </w:rPr>
        <w:t>Resul</w:t>
      </w:r>
      <w:r w:rsidR="00276396">
        <w:rPr>
          <w:rFonts w:ascii="Times New Roman" w:hAnsi="Times New Roman"/>
          <w:sz w:val="24"/>
          <w:szCs w:val="24"/>
          <w:lang w:eastAsia="pt-BR"/>
        </w:rPr>
        <w:t>tantes da Execução Orçamentária</w:t>
      </w:r>
      <w:r w:rsidRPr="00F02ABE">
        <w:rPr>
          <w:rFonts w:ascii="Times New Roman" w:hAnsi="Times New Roman"/>
          <w:bCs/>
          <w:iCs/>
          <w:color w:val="000000"/>
          <w:sz w:val="24"/>
          <w:szCs w:val="24"/>
          <w:lang w:eastAsia="pt-BR"/>
        </w:rPr>
        <w:t xml:space="preserve"> são </w:t>
      </w:r>
      <w:r w:rsidR="00276396">
        <w:rPr>
          <w:rFonts w:ascii="Times New Roman" w:hAnsi="Times New Roman"/>
          <w:bCs/>
          <w:iCs/>
          <w:color w:val="000000"/>
          <w:sz w:val="24"/>
          <w:szCs w:val="24"/>
          <w:lang w:eastAsia="pt-BR"/>
        </w:rPr>
        <w:t>as</w:t>
      </w:r>
      <w:r w:rsidRPr="00F02ABE">
        <w:rPr>
          <w:rFonts w:ascii="Times New Roman" w:hAnsi="Times New Roman"/>
          <w:bCs/>
          <w:iCs/>
          <w:color w:val="000000"/>
          <w:sz w:val="24"/>
          <w:szCs w:val="24"/>
          <w:lang w:eastAsia="pt-BR"/>
        </w:rPr>
        <w:t xml:space="preserve"> </w:t>
      </w:r>
      <w:r w:rsidRPr="00F02ABE">
        <w:rPr>
          <w:rFonts w:ascii="Times New Roman" w:hAnsi="Times New Roman"/>
          <w:sz w:val="24"/>
          <w:szCs w:val="24"/>
          <w:lang w:eastAsia="pt-BR"/>
        </w:rPr>
        <w:t xml:space="preserve">que representam o maior valor, </w:t>
      </w:r>
      <w:r w:rsidRPr="000452BE">
        <w:rPr>
          <w:rFonts w:ascii="Times New Roman" w:hAnsi="Times New Roman"/>
          <w:b/>
          <w:bCs/>
          <w:sz w:val="24"/>
          <w:szCs w:val="24"/>
          <w:lang w:eastAsia="pt-BR"/>
        </w:rPr>
        <w:t xml:space="preserve">R$ </w:t>
      </w:r>
      <w:r w:rsidR="001C2008" w:rsidRPr="001C2008">
        <w:rPr>
          <w:rFonts w:ascii="Times New Roman" w:hAnsi="Times New Roman"/>
          <w:b/>
          <w:bCs/>
          <w:color w:val="000000"/>
          <w:sz w:val="24"/>
          <w:szCs w:val="24"/>
          <w:lang w:eastAsia="pt-BR"/>
        </w:rPr>
        <w:t>657.120.233,35</w:t>
      </w:r>
      <w:r>
        <w:rPr>
          <w:rFonts w:ascii="Times New Roman" w:hAnsi="Times New Roman"/>
          <w:sz w:val="24"/>
          <w:szCs w:val="24"/>
          <w:lang w:eastAsia="pt-BR"/>
        </w:rPr>
        <w:t xml:space="preserve">, </w:t>
      </w:r>
      <w:r w:rsidRPr="00F02ABE">
        <w:rPr>
          <w:rFonts w:ascii="Times New Roman" w:hAnsi="Times New Roman"/>
          <w:sz w:val="24"/>
          <w:szCs w:val="24"/>
          <w:lang w:eastAsia="pt-BR"/>
        </w:rPr>
        <w:t xml:space="preserve">totalizando </w:t>
      </w:r>
      <w:r w:rsidR="001C2008">
        <w:rPr>
          <w:rFonts w:ascii="Times New Roman" w:hAnsi="Times New Roman"/>
          <w:sz w:val="24"/>
          <w:szCs w:val="24"/>
          <w:lang w:eastAsia="pt-BR"/>
        </w:rPr>
        <w:t>76,12</w:t>
      </w:r>
      <w:r w:rsidRPr="00F02ABE">
        <w:rPr>
          <w:rFonts w:ascii="Times New Roman" w:hAnsi="Times New Roman"/>
          <w:sz w:val="24"/>
          <w:szCs w:val="24"/>
          <w:lang w:eastAsia="pt-BR"/>
        </w:rPr>
        <w:t>% do total dos Ingressos. A Análise Vertical foi calculada com base no Total Geral dos Ingressos, ou seja, o montante de</w:t>
      </w:r>
      <w:r w:rsidRPr="00F02ABE">
        <w:rPr>
          <w:rFonts w:ascii="Times New Roman" w:hAnsi="Times New Roman"/>
          <w:b/>
          <w:bCs/>
          <w:sz w:val="24"/>
          <w:szCs w:val="24"/>
          <w:lang w:eastAsia="pt-BR"/>
        </w:rPr>
        <w:t xml:space="preserve"> R$ </w:t>
      </w:r>
      <w:r w:rsidR="001C2008">
        <w:rPr>
          <w:rFonts w:ascii="Times New Roman" w:hAnsi="Times New Roman"/>
          <w:b/>
          <w:bCs/>
          <w:sz w:val="24"/>
          <w:szCs w:val="24"/>
          <w:lang w:eastAsia="pt-BR"/>
        </w:rPr>
        <w:t>863.258.666,25</w:t>
      </w:r>
      <w:r w:rsidRPr="00F02ABE">
        <w:rPr>
          <w:rFonts w:ascii="Times New Roman" w:hAnsi="Times New Roman"/>
          <w:sz w:val="24"/>
          <w:szCs w:val="24"/>
          <w:lang w:eastAsia="pt-BR"/>
        </w:rPr>
        <w:t xml:space="preserve">.  </w:t>
      </w:r>
    </w:p>
    <w:p w14:paraId="77B9E249" w14:textId="77777777" w:rsidR="001B5390" w:rsidRDefault="001B5390" w:rsidP="00CB2FF5">
      <w:pPr>
        <w:autoSpaceDE w:val="0"/>
        <w:autoSpaceDN w:val="0"/>
        <w:adjustRightInd w:val="0"/>
        <w:spacing w:after="0" w:line="240" w:lineRule="auto"/>
        <w:ind w:left="1701"/>
        <w:jc w:val="both"/>
        <w:rPr>
          <w:rFonts w:ascii="Times New Roman" w:hAnsi="Times New Roman"/>
          <w:b/>
          <w:bCs/>
          <w:sz w:val="24"/>
          <w:szCs w:val="24"/>
          <w:lang w:eastAsia="pt-BR"/>
        </w:rPr>
      </w:pPr>
    </w:p>
    <w:p w14:paraId="3C567D83" w14:textId="19AF5E1B" w:rsidR="00CB2FF5" w:rsidRDefault="00CB2FF5" w:rsidP="00CB2FF5">
      <w:pPr>
        <w:autoSpaceDE w:val="0"/>
        <w:autoSpaceDN w:val="0"/>
        <w:adjustRightInd w:val="0"/>
        <w:spacing w:after="0" w:line="240" w:lineRule="auto"/>
        <w:ind w:left="1701"/>
        <w:jc w:val="both"/>
        <w:rPr>
          <w:rFonts w:ascii="Times New Roman" w:hAnsi="Times New Roman"/>
          <w:b/>
          <w:bCs/>
          <w:sz w:val="24"/>
          <w:szCs w:val="24"/>
          <w:lang w:eastAsia="pt-BR"/>
        </w:rPr>
      </w:pPr>
      <w:r w:rsidRPr="00F02ABE">
        <w:rPr>
          <w:rFonts w:ascii="Times New Roman" w:hAnsi="Times New Roman"/>
          <w:b/>
          <w:bCs/>
          <w:sz w:val="24"/>
          <w:szCs w:val="24"/>
          <w:lang w:eastAsia="pt-BR"/>
        </w:rPr>
        <w:lastRenderedPageBreak/>
        <w:t xml:space="preserve">Tabela 23 – </w:t>
      </w:r>
      <w:r w:rsidR="00B14CD7">
        <w:rPr>
          <w:rFonts w:ascii="Times New Roman" w:hAnsi="Times New Roman"/>
          <w:b/>
          <w:bCs/>
          <w:sz w:val="24"/>
          <w:szCs w:val="24"/>
          <w:lang w:eastAsia="pt-BR"/>
        </w:rPr>
        <w:t>Transferências Financeiras Recebidas</w:t>
      </w:r>
    </w:p>
    <w:p w14:paraId="5D19EE8B" w14:textId="77777777" w:rsidR="00CB2FF5" w:rsidRDefault="00CB2FF5" w:rsidP="00CB2FF5">
      <w:pPr>
        <w:autoSpaceDE w:val="0"/>
        <w:autoSpaceDN w:val="0"/>
        <w:adjustRightInd w:val="0"/>
        <w:spacing w:after="0" w:line="240" w:lineRule="auto"/>
        <w:ind w:left="1701"/>
        <w:jc w:val="both"/>
        <w:rPr>
          <w:rFonts w:ascii="Times New Roman" w:hAnsi="Times New Roman"/>
          <w:b/>
          <w:bCs/>
          <w:sz w:val="24"/>
          <w:szCs w:val="24"/>
          <w:lang w:eastAsia="pt-BR"/>
        </w:rPr>
      </w:pPr>
    </w:p>
    <w:p w14:paraId="46E1302C" w14:textId="77777777" w:rsidR="00CB2FF5" w:rsidRPr="00F02ABE" w:rsidRDefault="00CB2FF5" w:rsidP="00CB2FF5">
      <w:pPr>
        <w:autoSpaceDE w:val="0"/>
        <w:autoSpaceDN w:val="0"/>
        <w:adjustRightInd w:val="0"/>
        <w:spacing w:after="0" w:line="240" w:lineRule="auto"/>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 xml:space="preserve">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1"/>
        <w:gridCol w:w="1716"/>
        <w:gridCol w:w="1716"/>
        <w:gridCol w:w="1309"/>
        <w:gridCol w:w="1460"/>
      </w:tblGrid>
      <w:tr w:rsidR="00CB2FF5" w:rsidRPr="00F02ABE" w14:paraId="64D20D0C" w14:textId="77777777" w:rsidTr="00B14CD7">
        <w:tc>
          <w:tcPr>
            <w:tcW w:w="5701" w:type="dxa"/>
            <w:vMerge w:val="restart"/>
            <w:vAlign w:val="center"/>
          </w:tcPr>
          <w:p w14:paraId="4801F47B" w14:textId="61708120" w:rsidR="00CB2FF5" w:rsidRPr="00B14CD7" w:rsidRDefault="00CB2FF5" w:rsidP="00242CBD">
            <w:pPr>
              <w:autoSpaceDE w:val="0"/>
              <w:autoSpaceDN w:val="0"/>
              <w:adjustRightInd w:val="0"/>
              <w:spacing w:after="0" w:line="240" w:lineRule="auto"/>
              <w:jc w:val="center"/>
              <w:rPr>
                <w:rFonts w:ascii="Times New Roman" w:hAnsi="Times New Roman"/>
                <w:b/>
                <w:bCs/>
                <w:color w:val="000000"/>
                <w:sz w:val="24"/>
                <w:szCs w:val="24"/>
                <w:lang w:eastAsia="pt-BR"/>
              </w:rPr>
            </w:pPr>
            <w:r w:rsidRPr="00B14CD7">
              <w:rPr>
                <w:rFonts w:ascii="Times New Roman" w:hAnsi="Times New Roman"/>
                <w:b/>
                <w:bCs/>
                <w:color w:val="000000"/>
                <w:sz w:val="24"/>
                <w:szCs w:val="24"/>
                <w:lang w:eastAsia="pt-BR"/>
              </w:rPr>
              <w:t>TOTAL D</w:t>
            </w:r>
            <w:r w:rsidR="00B14CD7" w:rsidRPr="00B14CD7">
              <w:rPr>
                <w:rFonts w:ascii="Times New Roman" w:hAnsi="Times New Roman"/>
                <w:b/>
                <w:bCs/>
                <w:color w:val="000000"/>
                <w:sz w:val="24"/>
                <w:szCs w:val="24"/>
                <w:lang w:eastAsia="pt-BR"/>
              </w:rPr>
              <w:t>AS</w:t>
            </w:r>
            <w:r w:rsidRPr="00B14CD7">
              <w:rPr>
                <w:rFonts w:ascii="Times New Roman" w:hAnsi="Times New Roman"/>
                <w:b/>
                <w:bCs/>
                <w:color w:val="000000"/>
                <w:sz w:val="24"/>
                <w:szCs w:val="24"/>
                <w:lang w:eastAsia="pt-BR"/>
              </w:rPr>
              <w:t xml:space="preserve"> </w:t>
            </w:r>
            <w:r w:rsidR="00B14CD7" w:rsidRPr="00B14CD7">
              <w:rPr>
                <w:rFonts w:ascii="Times New Roman" w:hAnsi="Times New Roman"/>
                <w:b/>
                <w:bCs/>
                <w:color w:val="000000"/>
                <w:sz w:val="24"/>
                <w:szCs w:val="24"/>
                <w:lang w:eastAsia="pt-BR"/>
              </w:rPr>
              <w:t>TRASNFERÊNCIAS FINANCEIRAS RECEBIDAS</w:t>
            </w:r>
          </w:p>
        </w:tc>
        <w:tc>
          <w:tcPr>
            <w:tcW w:w="1716" w:type="dxa"/>
          </w:tcPr>
          <w:p w14:paraId="0E0CED20"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4</w:t>
            </w:r>
          </w:p>
        </w:tc>
        <w:tc>
          <w:tcPr>
            <w:tcW w:w="1716" w:type="dxa"/>
          </w:tcPr>
          <w:p w14:paraId="20F1A152"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3</w:t>
            </w:r>
          </w:p>
        </w:tc>
        <w:tc>
          <w:tcPr>
            <w:tcW w:w="1309" w:type="dxa"/>
          </w:tcPr>
          <w:p w14:paraId="70C67F35"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AH (%)</w:t>
            </w:r>
          </w:p>
        </w:tc>
        <w:tc>
          <w:tcPr>
            <w:tcW w:w="1460" w:type="dxa"/>
          </w:tcPr>
          <w:p w14:paraId="0A0B0BD8"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AV% 202</w:t>
            </w:r>
            <w:r>
              <w:rPr>
                <w:rFonts w:ascii="Times New Roman" w:hAnsi="Times New Roman"/>
                <w:b/>
                <w:color w:val="000000"/>
                <w:sz w:val="24"/>
                <w:szCs w:val="24"/>
                <w:lang w:eastAsia="pt-BR"/>
              </w:rPr>
              <w:t>4</w:t>
            </w:r>
          </w:p>
        </w:tc>
      </w:tr>
      <w:tr w:rsidR="00CB2FF5" w:rsidRPr="00F02ABE" w14:paraId="579E47D8" w14:textId="77777777" w:rsidTr="00B14CD7">
        <w:tc>
          <w:tcPr>
            <w:tcW w:w="5701" w:type="dxa"/>
            <w:vMerge/>
          </w:tcPr>
          <w:p w14:paraId="694B6C4F"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p>
        </w:tc>
        <w:tc>
          <w:tcPr>
            <w:tcW w:w="1716" w:type="dxa"/>
          </w:tcPr>
          <w:p w14:paraId="0D870292" w14:textId="2A633CEF" w:rsidR="00CB2FF5" w:rsidRPr="00F02ABE" w:rsidRDefault="001C2008" w:rsidP="00242CBD">
            <w:pPr>
              <w:autoSpaceDE w:val="0"/>
              <w:autoSpaceDN w:val="0"/>
              <w:adjustRightInd w:val="0"/>
              <w:spacing w:after="0" w:line="240" w:lineRule="auto"/>
              <w:jc w:val="right"/>
              <w:rPr>
                <w:rFonts w:ascii="Times New Roman" w:hAnsi="Times New Roman"/>
                <w:b/>
                <w:color w:val="000000"/>
                <w:sz w:val="24"/>
                <w:szCs w:val="24"/>
                <w:lang w:eastAsia="pt-BR"/>
              </w:rPr>
            </w:pPr>
            <w:r>
              <w:rPr>
                <w:rFonts w:ascii="Times New Roman" w:hAnsi="Times New Roman"/>
                <w:b/>
                <w:color w:val="000000"/>
                <w:sz w:val="24"/>
                <w:szCs w:val="24"/>
                <w:lang w:eastAsia="pt-BR"/>
              </w:rPr>
              <w:t>712.040.953,13</w:t>
            </w:r>
          </w:p>
        </w:tc>
        <w:tc>
          <w:tcPr>
            <w:tcW w:w="1716" w:type="dxa"/>
          </w:tcPr>
          <w:p w14:paraId="0F7A55C9" w14:textId="28857298" w:rsidR="00CB2FF5" w:rsidRPr="00F02ABE" w:rsidRDefault="001C2008" w:rsidP="00242CBD">
            <w:pPr>
              <w:autoSpaceDE w:val="0"/>
              <w:autoSpaceDN w:val="0"/>
              <w:adjustRightInd w:val="0"/>
              <w:spacing w:after="0" w:line="240" w:lineRule="auto"/>
              <w:jc w:val="right"/>
              <w:rPr>
                <w:rFonts w:ascii="Times New Roman" w:hAnsi="Times New Roman"/>
                <w:b/>
                <w:color w:val="000000"/>
                <w:sz w:val="24"/>
                <w:szCs w:val="24"/>
                <w:lang w:eastAsia="pt-BR"/>
              </w:rPr>
            </w:pPr>
            <w:r>
              <w:rPr>
                <w:rFonts w:ascii="Times New Roman" w:hAnsi="Times New Roman"/>
                <w:b/>
                <w:color w:val="000000"/>
                <w:sz w:val="24"/>
                <w:szCs w:val="24"/>
                <w:lang w:eastAsia="pt-BR"/>
              </w:rPr>
              <w:t>643.575.781,25</w:t>
            </w:r>
          </w:p>
        </w:tc>
        <w:tc>
          <w:tcPr>
            <w:tcW w:w="1309" w:type="dxa"/>
            <w:vAlign w:val="bottom"/>
          </w:tcPr>
          <w:p w14:paraId="6339C314" w14:textId="2E6993B2" w:rsidR="00CB2FF5" w:rsidRPr="00F02ABE" w:rsidRDefault="001C2008" w:rsidP="00242CBD">
            <w:pPr>
              <w:autoSpaceDE w:val="0"/>
              <w:autoSpaceDN w:val="0"/>
              <w:adjustRightInd w:val="0"/>
              <w:spacing w:after="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10,64</w:t>
            </w:r>
          </w:p>
        </w:tc>
        <w:tc>
          <w:tcPr>
            <w:tcW w:w="1460" w:type="dxa"/>
            <w:vAlign w:val="bottom"/>
          </w:tcPr>
          <w:p w14:paraId="39FDC5E9" w14:textId="159CAC9C" w:rsidR="00CB2FF5" w:rsidRPr="00F02ABE" w:rsidRDefault="001C2008" w:rsidP="00242CBD">
            <w:pPr>
              <w:autoSpaceDE w:val="0"/>
              <w:autoSpaceDN w:val="0"/>
              <w:adjustRightInd w:val="0"/>
              <w:spacing w:after="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82,48</w:t>
            </w:r>
          </w:p>
        </w:tc>
      </w:tr>
      <w:tr w:rsidR="00CB2FF5" w:rsidRPr="00F02ABE" w14:paraId="1BB5D573" w14:textId="77777777" w:rsidTr="00B14CD7">
        <w:tc>
          <w:tcPr>
            <w:tcW w:w="5701" w:type="dxa"/>
          </w:tcPr>
          <w:p w14:paraId="6E371F41" w14:textId="4C6D7458" w:rsidR="00CB2FF5" w:rsidRPr="00F02ABE" w:rsidRDefault="00B14CD7" w:rsidP="00242CBD">
            <w:pPr>
              <w:autoSpaceDE w:val="0"/>
              <w:autoSpaceDN w:val="0"/>
              <w:adjustRightInd w:val="0"/>
              <w:spacing w:after="0" w:line="240" w:lineRule="auto"/>
              <w:jc w:val="both"/>
              <w:rPr>
                <w:rFonts w:ascii="Times New Roman" w:hAnsi="Times New Roman"/>
                <w:bCs/>
                <w:iCs/>
                <w:color w:val="000000"/>
                <w:sz w:val="24"/>
                <w:szCs w:val="24"/>
                <w:lang w:eastAsia="pt-BR"/>
              </w:rPr>
            </w:pPr>
            <w:r>
              <w:rPr>
                <w:rFonts w:ascii="Times New Roman" w:hAnsi="Times New Roman"/>
                <w:bCs/>
                <w:iCs/>
                <w:color w:val="000000"/>
                <w:sz w:val="24"/>
                <w:szCs w:val="24"/>
                <w:lang w:eastAsia="pt-BR"/>
              </w:rPr>
              <w:t>Resultantes da Execução Orçamentária</w:t>
            </w:r>
          </w:p>
        </w:tc>
        <w:tc>
          <w:tcPr>
            <w:tcW w:w="1716" w:type="dxa"/>
          </w:tcPr>
          <w:p w14:paraId="53B6EF22" w14:textId="479C6D5B" w:rsidR="00CB2FF5" w:rsidRPr="00F02ABE" w:rsidRDefault="001C2008"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657.120.233,35</w:t>
            </w:r>
          </w:p>
        </w:tc>
        <w:tc>
          <w:tcPr>
            <w:tcW w:w="1716" w:type="dxa"/>
          </w:tcPr>
          <w:p w14:paraId="2C00C232" w14:textId="386B4583" w:rsidR="00CB2FF5" w:rsidRPr="00F02ABE" w:rsidRDefault="001C2008"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612.514.825,86</w:t>
            </w:r>
          </w:p>
        </w:tc>
        <w:tc>
          <w:tcPr>
            <w:tcW w:w="1309" w:type="dxa"/>
            <w:vAlign w:val="bottom"/>
          </w:tcPr>
          <w:p w14:paraId="3426BFA6" w14:textId="62003BE1" w:rsidR="00CB2FF5" w:rsidRPr="00F02ABE" w:rsidRDefault="001C2008"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7,28</w:t>
            </w:r>
          </w:p>
        </w:tc>
        <w:tc>
          <w:tcPr>
            <w:tcW w:w="1460" w:type="dxa"/>
            <w:vAlign w:val="bottom"/>
          </w:tcPr>
          <w:p w14:paraId="4D9301B8" w14:textId="444F5F59" w:rsidR="00CB2FF5" w:rsidRPr="00F02ABE" w:rsidRDefault="001C2008"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76,12</w:t>
            </w:r>
          </w:p>
        </w:tc>
      </w:tr>
      <w:tr w:rsidR="00CB2FF5" w:rsidRPr="00F02ABE" w14:paraId="4C16C296" w14:textId="77777777" w:rsidTr="00B14CD7">
        <w:tc>
          <w:tcPr>
            <w:tcW w:w="5701" w:type="dxa"/>
          </w:tcPr>
          <w:p w14:paraId="29CA5BF2" w14:textId="695DFDCF" w:rsidR="00CB2FF5" w:rsidRDefault="004A0867" w:rsidP="00242CBD">
            <w:pPr>
              <w:autoSpaceDE w:val="0"/>
              <w:autoSpaceDN w:val="0"/>
              <w:adjustRightInd w:val="0"/>
              <w:spacing w:after="0" w:line="240" w:lineRule="auto"/>
              <w:jc w:val="both"/>
              <w:rPr>
                <w:rFonts w:ascii="Times New Roman" w:hAnsi="Times New Roman"/>
                <w:bCs/>
                <w:iCs/>
                <w:color w:val="000000"/>
                <w:sz w:val="24"/>
                <w:szCs w:val="24"/>
                <w:lang w:eastAsia="pt-BR"/>
              </w:rPr>
            </w:pPr>
            <w:r>
              <w:rPr>
                <w:rFonts w:ascii="Times New Roman" w:hAnsi="Times New Roman"/>
                <w:bCs/>
                <w:iCs/>
                <w:color w:val="000000"/>
                <w:sz w:val="24"/>
                <w:szCs w:val="24"/>
                <w:lang w:eastAsia="pt-BR"/>
              </w:rPr>
              <w:t>Independentes da Execução Orçamentária</w:t>
            </w:r>
          </w:p>
        </w:tc>
        <w:tc>
          <w:tcPr>
            <w:tcW w:w="1716" w:type="dxa"/>
          </w:tcPr>
          <w:p w14:paraId="53360B1C" w14:textId="1470A617" w:rsidR="00CB2FF5" w:rsidRDefault="001C2008"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54.920.719,78</w:t>
            </w:r>
          </w:p>
        </w:tc>
        <w:tc>
          <w:tcPr>
            <w:tcW w:w="1716" w:type="dxa"/>
          </w:tcPr>
          <w:p w14:paraId="5B5513DA" w14:textId="56E2F8EB" w:rsidR="00CB2FF5" w:rsidRDefault="001C2008"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31.033.955,39</w:t>
            </w:r>
          </w:p>
        </w:tc>
        <w:tc>
          <w:tcPr>
            <w:tcW w:w="1309" w:type="dxa"/>
            <w:vAlign w:val="bottom"/>
          </w:tcPr>
          <w:p w14:paraId="69E77480" w14:textId="0D16A23E" w:rsidR="00CB2FF5" w:rsidRPr="00F02ABE" w:rsidRDefault="001C2008"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76,97</w:t>
            </w:r>
          </w:p>
        </w:tc>
        <w:tc>
          <w:tcPr>
            <w:tcW w:w="1460" w:type="dxa"/>
            <w:vAlign w:val="bottom"/>
          </w:tcPr>
          <w:p w14:paraId="6F6D3853" w14:textId="32D4F052" w:rsidR="00CB2FF5" w:rsidRPr="00F02ABE" w:rsidRDefault="001C2008"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6,36</w:t>
            </w:r>
          </w:p>
        </w:tc>
      </w:tr>
    </w:tbl>
    <w:p w14:paraId="45E17F4E" w14:textId="77777777" w:rsidR="00CB2FF5" w:rsidRPr="00695635" w:rsidRDefault="00CB2FF5" w:rsidP="00CB2FF5">
      <w:pPr>
        <w:autoSpaceDE w:val="0"/>
        <w:autoSpaceDN w:val="0"/>
        <w:adjustRightInd w:val="0"/>
        <w:spacing w:after="0" w:line="240" w:lineRule="auto"/>
        <w:ind w:left="1701"/>
        <w:jc w:val="both"/>
        <w:rPr>
          <w:rFonts w:ascii="Times New Roman" w:hAnsi="Times New Roman"/>
          <w:color w:val="000000"/>
          <w:sz w:val="20"/>
          <w:szCs w:val="20"/>
          <w:lang w:eastAsia="pt-BR"/>
        </w:rPr>
      </w:pPr>
      <w:r w:rsidRPr="00695635">
        <w:rPr>
          <w:rFonts w:ascii="Times New Roman" w:hAnsi="Times New Roman"/>
          <w:color w:val="000000"/>
          <w:sz w:val="20"/>
          <w:szCs w:val="20"/>
          <w:lang w:eastAsia="pt-BR"/>
        </w:rPr>
        <w:t>Fonte: SIAFI web, 2024 e 2023</w:t>
      </w:r>
    </w:p>
    <w:p w14:paraId="76DDA06F"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2F60BF02" w14:textId="6619C899" w:rsidR="00CB2FF5" w:rsidRDefault="00CB2FF5" w:rsidP="00CB2FF5">
      <w:pPr>
        <w:autoSpaceDE w:val="0"/>
        <w:autoSpaceDN w:val="0"/>
        <w:adjustRightInd w:val="0"/>
        <w:spacing w:after="0" w:line="240" w:lineRule="auto"/>
        <w:ind w:left="1560"/>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9.2 Dispêndios</w:t>
      </w:r>
    </w:p>
    <w:p w14:paraId="0631756B" w14:textId="77777777" w:rsidR="00F431F6" w:rsidRPr="00F02ABE" w:rsidRDefault="00F431F6" w:rsidP="00CB2FF5">
      <w:pPr>
        <w:autoSpaceDE w:val="0"/>
        <w:autoSpaceDN w:val="0"/>
        <w:adjustRightInd w:val="0"/>
        <w:spacing w:after="0" w:line="240" w:lineRule="auto"/>
        <w:ind w:left="1560"/>
        <w:jc w:val="both"/>
        <w:rPr>
          <w:rFonts w:ascii="Times New Roman" w:hAnsi="Times New Roman"/>
          <w:b/>
          <w:color w:val="000000"/>
          <w:sz w:val="24"/>
          <w:szCs w:val="24"/>
          <w:lang w:eastAsia="pt-BR"/>
        </w:rPr>
      </w:pPr>
    </w:p>
    <w:p w14:paraId="2D8C6CCB" w14:textId="2B515D69" w:rsidR="00CB2FF5"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Do grupo dos Dispêndios (desembolsos) realizados pelo IFPI, o que apresenta o valor mais significativo está relacionado com as Despesas Orçamentárias e corresponde a </w:t>
      </w:r>
      <w:r w:rsidR="00A02957">
        <w:rPr>
          <w:rFonts w:ascii="Times New Roman" w:hAnsi="Times New Roman"/>
          <w:color w:val="000000"/>
          <w:sz w:val="24"/>
          <w:szCs w:val="24"/>
          <w:lang w:eastAsia="pt-BR"/>
        </w:rPr>
        <w:t>7</w:t>
      </w:r>
      <w:r w:rsidR="006A4CE6">
        <w:rPr>
          <w:rFonts w:ascii="Times New Roman" w:hAnsi="Times New Roman"/>
          <w:color w:val="000000"/>
          <w:sz w:val="24"/>
          <w:szCs w:val="24"/>
          <w:lang w:eastAsia="pt-BR"/>
        </w:rPr>
        <w:t>7,89</w:t>
      </w:r>
      <w:r w:rsidRPr="00F02ABE">
        <w:rPr>
          <w:rFonts w:ascii="Times New Roman" w:hAnsi="Times New Roman"/>
          <w:color w:val="000000"/>
          <w:sz w:val="24"/>
          <w:szCs w:val="24"/>
          <w:lang w:eastAsia="pt-BR"/>
        </w:rPr>
        <w:t xml:space="preserve">% do total dos Dispêndios. Este apresentou um acréscimo de </w:t>
      </w:r>
      <w:r w:rsidR="006A4CE6">
        <w:rPr>
          <w:rFonts w:ascii="Times New Roman" w:hAnsi="Times New Roman"/>
          <w:color w:val="000000"/>
          <w:sz w:val="24"/>
          <w:szCs w:val="24"/>
          <w:lang w:eastAsia="pt-BR"/>
        </w:rPr>
        <w:t>9,54</w:t>
      </w:r>
      <w:r w:rsidRPr="00F02ABE">
        <w:rPr>
          <w:rFonts w:ascii="Times New Roman" w:hAnsi="Times New Roman"/>
          <w:color w:val="000000"/>
          <w:sz w:val="24"/>
          <w:szCs w:val="24"/>
          <w:lang w:eastAsia="pt-BR"/>
        </w:rPr>
        <w:t>% no período analisado.</w:t>
      </w:r>
    </w:p>
    <w:p w14:paraId="7F368301" w14:textId="77777777" w:rsidR="00CB2FF5" w:rsidRPr="00F02ABE"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p>
    <w:p w14:paraId="694CC6B4" w14:textId="77777777" w:rsidR="00CB2FF5" w:rsidRPr="00F02ABE"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p>
    <w:p w14:paraId="416FE5A5" w14:textId="77777777" w:rsidR="00CB2FF5" w:rsidRDefault="00CB2FF5" w:rsidP="00CB2FF5">
      <w:pPr>
        <w:autoSpaceDE w:val="0"/>
        <w:autoSpaceDN w:val="0"/>
        <w:adjustRightInd w:val="0"/>
        <w:spacing w:after="0" w:line="240" w:lineRule="auto"/>
        <w:ind w:left="1560"/>
        <w:rPr>
          <w:rFonts w:ascii="Times New Roman" w:hAnsi="Times New Roman"/>
          <w:color w:val="000000"/>
          <w:sz w:val="24"/>
          <w:szCs w:val="24"/>
          <w:lang w:eastAsia="pt-BR"/>
        </w:rPr>
      </w:pPr>
      <w:r w:rsidRPr="00F02ABE">
        <w:rPr>
          <w:rFonts w:ascii="Times New Roman" w:hAnsi="Times New Roman"/>
          <w:b/>
          <w:color w:val="000000"/>
          <w:sz w:val="24"/>
          <w:szCs w:val="24"/>
          <w:lang w:eastAsia="pt-BR"/>
        </w:rPr>
        <w:t>Tabela 24 – Composição dos dispêndios financeiros do IFPI</w:t>
      </w:r>
      <w:r w:rsidRPr="00F02ABE">
        <w:rPr>
          <w:rFonts w:ascii="Times New Roman" w:hAnsi="Times New Roman"/>
          <w:color w:val="000000"/>
          <w:sz w:val="24"/>
          <w:szCs w:val="24"/>
          <w:lang w:eastAsia="pt-BR"/>
        </w:rPr>
        <w:t xml:space="preserve">  </w:t>
      </w:r>
    </w:p>
    <w:p w14:paraId="7CC9C740" w14:textId="77777777" w:rsidR="00CB2FF5" w:rsidRPr="00F02ABE" w:rsidRDefault="00CB2FF5" w:rsidP="00CB2FF5">
      <w:pPr>
        <w:autoSpaceDE w:val="0"/>
        <w:autoSpaceDN w:val="0"/>
        <w:adjustRightInd w:val="0"/>
        <w:spacing w:after="0" w:line="240" w:lineRule="auto"/>
        <w:ind w:left="1560"/>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                                                                                                      </w:t>
      </w:r>
      <w:r w:rsidRPr="00F02ABE">
        <w:rPr>
          <w:rFonts w:ascii="Times New Roman" w:hAnsi="Times New Roman"/>
          <w:color w:val="000000"/>
          <w:sz w:val="24"/>
          <w:szCs w:val="24"/>
          <w:lang w:eastAsia="pt-BR"/>
        </w:rPr>
        <w:tab/>
      </w:r>
      <w:r w:rsidRPr="00F02ABE">
        <w:rPr>
          <w:rFonts w:ascii="Times New Roman" w:hAnsi="Times New Roman"/>
          <w:color w:val="000000"/>
          <w:sz w:val="24"/>
          <w:szCs w:val="24"/>
          <w:lang w:eastAsia="pt-BR"/>
        </w:rPr>
        <w:tab/>
      </w:r>
      <w:r w:rsidRPr="00F02ABE">
        <w:rPr>
          <w:rFonts w:ascii="Times New Roman" w:hAnsi="Times New Roman"/>
          <w:color w:val="000000"/>
          <w:sz w:val="24"/>
          <w:szCs w:val="24"/>
          <w:lang w:eastAsia="pt-BR"/>
        </w:rPr>
        <w:tab/>
      </w:r>
      <w:r w:rsidRPr="00F02ABE">
        <w:rPr>
          <w:rFonts w:ascii="Times New Roman" w:hAnsi="Times New Roman"/>
          <w:color w:val="000000"/>
          <w:sz w:val="24"/>
          <w:szCs w:val="24"/>
          <w:lang w:eastAsia="pt-BR"/>
        </w:rPr>
        <w:tab/>
      </w:r>
      <w:r w:rsidRPr="00F02ABE">
        <w:rPr>
          <w:rFonts w:ascii="Times New Roman" w:hAnsi="Times New Roman"/>
          <w:color w:val="000000"/>
          <w:sz w:val="24"/>
          <w:szCs w:val="24"/>
          <w:lang w:eastAsia="pt-BR"/>
        </w:rPr>
        <w:tab/>
      </w:r>
      <w:r w:rsidRPr="00F02ABE">
        <w:rPr>
          <w:rFonts w:ascii="Times New Roman" w:hAnsi="Times New Roman"/>
          <w:color w:val="000000"/>
          <w:sz w:val="24"/>
          <w:szCs w:val="24"/>
          <w:lang w:eastAsia="pt-BR"/>
        </w:rPr>
        <w:tab/>
      </w:r>
      <w:r w:rsidRPr="00F02ABE">
        <w:rPr>
          <w:rFonts w:ascii="Times New Roman" w:hAnsi="Times New Roman"/>
          <w:color w:val="000000"/>
          <w:sz w:val="24"/>
          <w:szCs w:val="24"/>
          <w:lang w:eastAsia="pt-BR"/>
        </w:rPr>
        <w:tab/>
      </w:r>
      <w:r w:rsidRPr="00F02ABE">
        <w:rPr>
          <w:rFonts w:ascii="Times New Roman" w:hAnsi="Times New Roman"/>
          <w:color w:val="000000"/>
          <w:sz w:val="24"/>
          <w:szCs w:val="24"/>
          <w:lang w:eastAsia="pt-BR"/>
        </w:rPr>
        <w:tab/>
      </w:r>
      <w:r w:rsidRPr="00F02ABE">
        <w:rPr>
          <w:rFonts w:ascii="Times New Roman" w:hAnsi="Times New Roman"/>
          <w:color w:val="000000"/>
          <w:sz w:val="24"/>
          <w:szCs w:val="24"/>
          <w:lang w:eastAsia="pt-BR"/>
        </w:rPr>
        <w:tab/>
      </w:r>
      <w:r w:rsidRPr="00F02ABE">
        <w:rPr>
          <w:rFonts w:ascii="Times New Roman" w:hAnsi="Times New Roman"/>
          <w:color w:val="000000"/>
          <w:sz w:val="24"/>
          <w:szCs w:val="24"/>
          <w:lang w:eastAsia="pt-BR"/>
        </w:rPr>
        <w:tab/>
        <w:t xml:space="preserve">          </w:t>
      </w:r>
      <w:r>
        <w:rPr>
          <w:rFonts w:ascii="Times New Roman" w:hAnsi="Times New Roman"/>
          <w:color w:val="000000"/>
          <w:sz w:val="24"/>
          <w:szCs w:val="24"/>
          <w:lang w:eastAsia="pt-BR"/>
        </w:rPr>
        <w:t xml:space="preserve">                                                                                                                                                                                        </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2070"/>
        <w:gridCol w:w="2071"/>
        <w:gridCol w:w="1694"/>
        <w:gridCol w:w="1566"/>
      </w:tblGrid>
      <w:tr w:rsidR="00563DE1" w:rsidRPr="00F02ABE" w14:paraId="4B9F5C3E" w14:textId="77777777" w:rsidTr="00242CBD">
        <w:tc>
          <w:tcPr>
            <w:tcW w:w="5494" w:type="dxa"/>
            <w:shd w:val="clear" w:color="auto" w:fill="auto"/>
          </w:tcPr>
          <w:p w14:paraId="63EDDA0F"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DISPÊNDIOS</w:t>
            </w:r>
          </w:p>
        </w:tc>
        <w:tc>
          <w:tcPr>
            <w:tcW w:w="2126" w:type="dxa"/>
            <w:shd w:val="clear" w:color="auto" w:fill="auto"/>
          </w:tcPr>
          <w:p w14:paraId="36D35C5F"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4</w:t>
            </w:r>
          </w:p>
        </w:tc>
        <w:tc>
          <w:tcPr>
            <w:tcW w:w="2127" w:type="dxa"/>
            <w:shd w:val="clear" w:color="auto" w:fill="auto"/>
          </w:tcPr>
          <w:p w14:paraId="658B8A11"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3</w:t>
            </w:r>
          </w:p>
        </w:tc>
        <w:tc>
          <w:tcPr>
            <w:tcW w:w="1842" w:type="dxa"/>
            <w:shd w:val="clear" w:color="auto" w:fill="auto"/>
          </w:tcPr>
          <w:p w14:paraId="353C9B0C"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AH (%)</w:t>
            </w:r>
          </w:p>
        </w:tc>
        <w:tc>
          <w:tcPr>
            <w:tcW w:w="1694" w:type="dxa"/>
            <w:shd w:val="clear" w:color="auto" w:fill="auto"/>
          </w:tcPr>
          <w:p w14:paraId="7114F246" w14:textId="7F15ED01"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AV</w:t>
            </w:r>
            <w:r w:rsidR="00F431F6">
              <w:rPr>
                <w:rFonts w:ascii="Times New Roman" w:hAnsi="Times New Roman"/>
                <w:b/>
                <w:color w:val="000000"/>
                <w:sz w:val="24"/>
                <w:szCs w:val="24"/>
                <w:lang w:eastAsia="pt-BR"/>
              </w:rPr>
              <w:t xml:space="preserve"> </w:t>
            </w:r>
            <w:r w:rsidRPr="00F02ABE">
              <w:rPr>
                <w:rFonts w:ascii="Times New Roman" w:hAnsi="Times New Roman"/>
                <w:b/>
                <w:color w:val="000000"/>
                <w:sz w:val="24"/>
                <w:szCs w:val="24"/>
                <w:lang w:eastAsia="pt-BR"/>
              </w:rPr>
              <w:t xml:space="preserve">(%) </w:t>
            </w:r>
          </w:p>
        </w:tc>
      </w:tr>
      <w:tr w:rsidR="00563DE1" w:rsidRPr="00F02ABE" w14:paraId="35D5F27F" w14:textId="77777777" w:rsidTr="00242CBD">
        <w:tc>
          <w:tcPr>
            <w:tcW w:w="5494" w:type="dxa"/>
            <w:shd w:val="clear" w:color="auto" w:fill="auto"/>
          </w:tcPr>
          <w:p w14:paraId="3BA29742"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Despesas Orçamentárias</w:t>
            </w:r>
          </w:p>
        </w:tc>
        <w:tc>
          <w:tcPr>
            <w:tcW w:w="2126" w:type="dxa"/>
            <w:shd w:val="clear" w:color="auto" w:fill="auto"/>
          </w:tcPr>
          <w:p w14:paraId="6791858F" w14:textId="2541832C" w:rsidR="00CB2FF5" w:rsidRPr="00F02ABE" w:rsidRDefault="00563DE1"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672.421.964,59</w:t>
            </w:r>
          </w:p>
        </w:tc>
        <w:tc>
          <w:tcPr>
            <w:tcW w:w="2127" w:type="dxa"/>
            <w:shd w:val="clear" w:color="auto" w:fill="auto"/>
          </w:tcPr>
          <w:p w14:paraId="54BD9CD5" w14:textId="1E859F57" w:rsidR="00CB2FF5" w:rsidRPr="00F02ABE" w:rsidRDefault="00563DE1"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613.884.894,55</w:t>
            </w:r>
          </w:p>
        </w:tc>
        <w:tc>
          <w:tcPr>
            <w:tcW w:w="1842" w:type="dxa"/>
            <w:shd w:val="clear" w:color="auto" w:fill="auto"/>
          </w:tcPr>
          <w:p w14:paraId="09368813" w14:textId="683BE226" w:rsidR="00CB2FF5" w:rsidRPr="00F02ABE" w:rsidRDefault="00465EBC"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9,54</w:t>
            </w:r>
          </w:p>
        </w:tc>
        <w:tc>
          <w:tcPr>
            <w:tcW w:w="1694" w:type="dxa"/>
            <w:shd w:val="clear" w:color="auto" w:fill="auto"/>
          </w:tcPr>
          <w:p w14:paraId="0C0EFB93" w14:textId="1DA346E5" w:rsidR="00CB2FF5" w:rsidRPr="00F02ABE" w:rsidRDefault="00465EBC"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77,89</w:t>
            </w:r>
          </w:p>
        </w:tc>
      </w:tr>
      <w:tr w:rsidR="00563DE1" w:rsidRPr="00F02ABE" w14:paraId="423B6ADF" w14:textId="77777777" w:rsidTr="00242CBD">
        <w:tc>
          <w:tcPr>
            <w:tcW w:w="5494" w:type="dxa"/>
            <w:shd w:val="clear" w:color="auto" w:fill="auto"/>
          </w:tcPr>
          <w:p w14:paraId="6BC4BF89"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Transferências Financeiras Concedidas</w:t>
            </w:r>
          </w:p>
        </w:tc>
        <w:tc>
          <w:tcPr>
            <w:tcW w:w="2126" w:type="dxa"/>
            <w:shd w:val="clear" w:color="auto" w:fill="auto"/>
          </w:tcPr>
          <w:p w14:paraId="75F4DCF5" w14:textId="4B72B9EA" w:rsidR="00CB2FF5" w:rsidRPr="00F02ABE" w:rsidRDefault="00563DE1"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53.057.833,43</w:t>
            </w:r>
          </w:p>
        </w:tc>
        <w:tc>
          <w:tcPr>
            <w:tcW w:w="2127" w:type="dxa"/>
            <w:shd w:val="clear" w:color="auto" w:fill="auto"/>
          </w:tcPr>
          <w:p w14:paraId="4DCD9C50" w14:textId="3C202041" w:rsidR="00CB2FF5" w:rsidRPr="00F02ABE" w:rsidRDefault="00563DE1"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59.896.208,43</w:t>
            </w:r>
          </w:p>
        </w:tc>
        <w:tc>
          <w:tcPr>
            <w:tcW w:w="1842" w:type="dxa"/>
            <w:shd w:val="clear" w:color="auto" w:fill="auto"/>
          </w:tcPr>
          <w:p w14:paraId="63F285E6" w14:textId="6D99BA72" w:rsidR="00CB2FF5" w:rsidRPr="00F02ABE" w:rsidRDefault="00465EBC"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-11,42</w:t>
            </w:r>
          </w:p>
        </w:tc>
        <w:tc>
          <w:tcPr>
            <w:tcW w:w="1694" w:type="dxa"/>
            <w:shd w:val="clear" w:color="auto" w:fill="auto"/>
          </w:tcPr>
          <w:p w14:paraId="6A07A46A" w14:textId="7451D6E6" w:rsidR="00CB2FF5" w:rsidRPr="00F02ABE" w:rsidRDefault="00465EBC"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6,15</w:t>
            </w:r>
          </w:p>
        </w:tc>
      </w:tr>
      <w:tr w:rsidR="00563DE1" w:rsidRPr="00F02ABE" w14:paraId="3526F78F" w14:textId="77777777" w:rsidTr="00242CBD">
        <w:tc>
          <w:tcPr>
            <w:tcW w:w="5494" w:type="dxa"/>
            <w:shd w:val="clear" w:color="auto" w:fill="auto"/>
          </w:tcPr>
          <w:p w14:paraId="7C7FCA38"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Pagamentos Extraorçamentários</w:t>
            </w:r>
          </w:p>
        </w:tc>
        <w:tc>
          <w:tcPr>
            <w:tcW w:w="2126" w:type="dxa"/>
            <w:shd w:val="clear" w:color="auto" w:fill="auto"/>
          </w:tcPr>
          <w:p w14:paraId="4D7DC50C" w14:textId="0FD055A9" w:rsidR="00CB2FF5" w:rsidRPr="00F02ABE" w:rsidRDefault="00563DE1"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89.826.632,59</w:t>
            </w:r>
          </w:p>
        </w:tc>
        <w:tc>
          <w:tcPr>
            <w:tcW w:w="2127" w:type="dxa"/>
            <w:shd w:val="clear" w:color="auto" w:fill="auto"/>
          </w:tcPr>
          <w:p w14:paraId="6CFD3D31" w14:textId="7B4DA331" w:rsidR="00CB2FF5" w:rsidRPr="00F02ABE" w:rsidRDefault="00563DE1"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56.333.380,11</w:t>
            </w:r>
          </w:p>
        </w:tc>
        <w:tc>
          <w:tcPr>
            <w:tcW w:w="1842" w:type="dxa"/>
            <w:shd w:val="clear" w:color="auto" w:fill="auto"/>
          </w:tcPr>
          <w:p w14:paraId="4A2166DA" w14:textId="3B856F9E" w:rsidR="00CB2FF5" w:rsidRPr="00F02ABE" w:rsidRDefault="00465EBC"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59,46</w:t>
            </w:r>
          </w:p>
        </w:tc>
        <w:tc>
          <w:tcPr>
            <w:tcW w:w="1694" w:type="dxa"/>
            <w:shd w:val="clear" w:color="auto" w:fill="auto"/>
          </w:tcPr>
          <w:p w14:paraId="7E73A251" w14:textId="78C5A051" w:rsidR="00CB2FF5" w:rsidRPr="00F02ABE" w:rsidRDefault="00465EBC"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10,41</w:t>
            </w:r>
          </w:p>
        </w:tc>
      </w:tr>
      <w:tr w:rsidR="00563DE1" w:rsidRPr="00F02ABE" w14:paraId="3A955645" w14:textId="77777777" w:rsidTr="00242CBD">
        <w:tc>
          <w:tcPr>
            <w:tcW w:w="5494" w:type="dxa"/>
            <w:shd w:val="clear" w:color="auto" w:fill="auto"/>
          </w:tcPr>
          <w:p w14:paraId="32F405C9"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Saldo para o Exercício Seguinte</w:t>
            </w:r>
          </w:p>
        </w:tc>
        <w:tc>
          <w:tcPr>
            <w:tcW w:w="2126" w:type="dxa"/>
            <w:shd w:val="clear" w:color="auto" w:fill="auto"/>
          </w:tcPr>
          <w:p w14:paraId="568ECBE1" w14:textId="6227725E" w:rsidR="00CB2FF5" w:rsidRPr="00F02ABE" w:rsidRDefault="00563DE1"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47.952.235,64</w:t>
            </w:r>
          </w:p>
        </w:tc>
        <w:tc>
          <w:tcPr>
            <w:tcW w:w="2127" w:type="dxa"/>
            <w:shd w:val="clear" w:color="auto" w:fill="auto"/>
          </w:tcPr>
          <w:p w14:paraId="3F306B1A" w14:textId="139480B0" w:rsidR="00CB2FF5" w:rsidRPr="00F02ABE" w:rsidRDefault="00563DE1"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47.516.193,58</w:t>
            </w:r>
          </w:p>
        </w:tc>
        <w:tc>
          <w:tcPr>
            <w:tcW w:w="1842" w:type="dxa"/>
            <w:shd w:val="clear" w:color="auto" w:fill="auto"/>
          </w:tcPr>
          <w:p w14:paraId="3F89A1A8" w14:textId="01F757F9" w:rsidR="00CB2FF5" w:rsidRPr="00F02ABE" w:rsidRDefault="00465EBC"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0,92</w:t>
            </w:r>
          </w:p>
        </w:tc>
        <w:tc>
          <w:tcPr>
            <w:tcW w:w="1694" w:type="dxa"/>
            <w:shd w:val="clear" w:color="auto" w:fill="auto"/>
          </w:tcPr>
          <w:p w14:paraId="1E0B8260" w14:textId="6FA853E6" w:rsidR="00CB2FF5" w:rsidRPr="00F02ABE" w:rsidRDefault="00465EBC"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5,55</w:t>
            </w:r>
          </w:p>
        </w:tc>
      </w:tr>
      <w:tr w:rsidR="00563DE1" w:rsidRPr="00F02ABE" w14:paraId="27DA4D3D" w14:textId="77777777" w:rsidTr="00242CBD">
        <w:tc>
          <w:tcPr>
            <w:tcW w:w="5494" w:type="dxa"/>
            <w:shd w:val="clear" w:color="auto" w:fill="auto"/>
          </w:tcPr>
          <w:p w14:paraId="0E1B7427"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TOTAL</w:t>
            </w:r>
          </w:p>
        </w:tc>
        <w:tc>
          <w:tcPr>
            <w:tcW w:w="2126" w:type="dxa"/>
            <w:shd w:val="clear" w:color="auto" w:fill="auto"/>
          </w:tcPr>
          <w:p w14:paraId="4E43C2E6" w14:textId="2C4BAAC5" w:rsidR="00CB2FF5" w:rsidRPr="00F02ABE" w:rsidRDefault="00563DE1" w:rsidP="00242CBD">
            <w:pPr>
              <w:spacing w:after="0" w:line="240" w:lineRule="auto"/>
              <w:jc w:val="right"/>
              <w:rPr>
                <w:rFonts w:ascii="Times New Roman" w:hAnsi="Times New Roman"/>
                <w:b/>
                <w:color w:val="000000"/>
                <w:sz w:val="24"/>
                <w:szCs w:val="24"/>
                <w:lang w:eastAsia="pt-BR"/>
              </w:rPr>
            </w:pPr>
            <w:r>
              <w:rPr>
                <w:rFonts w:ascii="Times New Roman" w:hAnsi="Times New Roman"/>
                <w:b/>
                <w:color w:val="000000"/>
                <w:sz w:val="24"/>
                <w:szCs w:val="24"/>
                <w:lang w:eastAsia="pt-BR"/>
              </w:rPr>
              <w:t>863.258.666,25</w:t>
            </w:r>
          </w:p>
        </w:tc>
        <w:tc>
          <w:tcPr>
            <w:tcW w:w="2127" w:type="dxa"/>
            <w:shd w:val="clear" w:color="auto" w:fill="auto"/>
          </w:tcPr>
          <w:p w14:paraId="1898DD61" w14:textId="71061038" w:rsidR="00CB2FF5" w:rsidRPr="00F02ABE" w:rsidRDefault="00563DE1" w:rsidP="00242CBD">
            <w:pPr>
              <w:spacing w:after="0" w:line="240" w:lineRule="auto"/>
              <w:jc w:val="right"/>
              <w:rPr>
                <w:rFonts w:ascii="Times New Roman" w:hAnsi="Times New Roman"/>
                <w:b/>
                <w:color w:val="000000"/>
                <w:sz w:val="24"/>
                <w:szCs w:val="24"/>
                <w:lang w:eastAsia="pt-BR"/>
              </w:rPr>
            </w:pPr>
            <w:r>
              <w:rPr>
                <w:rFonts w:ascii="Times New Roman" w:hAnsi="Times New Roman"/>
                <w:b/>
                <w:color w:val="000000"/>
                <w:sz w:val="24"/>
                <w:szCs w:val="24"/>
                <w:lang w:eastAsia="pt-BR"/>
              </w:rPr>
              <w:t>777.630.676,67</w:t>
            </w:r>
          </w:p>
        </w:tc>
        <w:tc>
          <w:tcPr>
            <w:tcW w:w="1842" w:type="dxa"/>
            <w:shd w:val="clear" w:color="auto" w:fill="auto"/>
          </w:tcPr>
          <w:p w14:paraId="3B719453" w14:textId="4DB2D622" w:rsidR="00CB2FF5" w:rsidRPr="00F02ABE" w:rsidRDefault="00465EBC" w:rsidP="00242CBD">
            <w:pPr>
              <w:autoSpaceDE w:val="0"/>
              <w:autoSpaceDN w:val="0"/>
              <w:adjustRightInd w:val="0"/>
              <w:spacing w:after="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11,01</w:t>
            </w:r>
          </w:p>
        </w:tc>
        <w:tc>
          <w:tcPr>
            <w:tcW w:w="1694" w:type="dxa"/>
            <w:shd w:val="clear" w:color="auto" w:fill="auto"/>
          </w:tcPr>
          <w:p w14:paraId="0F5415F0" w14:textId="73302294" w:rsidR="00CB2FF5" w:rsidRPr="00F02ABE" w:rsidRDefault="00563DE1" w:rsidP="00242CBD">
            <w:pPr>
              <w:autoSpaceDE w:val="0"/>
              <w:autoSpaceDN w:val="0"/>
              <w:adjustRightInd w:val="0"/>
              <w:spacing w:after="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100</w:t>
            </w:r>
          </w:p>
        </w:tc>
      </w:tr>
    </w:tbl>
    <w:p w14:paraId="7CD1E7B6" w14:textId="77777777" w:rsidR="00CB2FF5" w:rsidRPr="00F02ABE"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r w:rsidRPr="002C0FCF">
        <w:rPr>
          <w:rFonts w:ascii="Times New Roman" w:hAnsi="Times New Roman"/>
          <w:color w:val="000000"/>
          <w:sz w:val="20"/>
          <w:szCs w:val="20"/>
          <w:lang w:eastAsia="pt-BR"/>
        </w:rPr>
        <w:t>Fonte: SIAFI web, 2024 e 2023</w:t>
      </w:r>
      <w:r w:rsidRPr="00F02ABE">
        <w:rPr>
          <w:rFonts w:ascii="Times New Roman" w:hAnsi="Times New Roman"/>
          <w:color w:val="000000"/>
          <w:sz w:val="24"/>
          <w:szCs w:val="24"/>
          <w:lang w:eastAsia="pt-BR"/>
        </w:rPr>
        <w:t>.</w:t>
      </w:r>
    </w:p>
    <w:p w14:paraId="42EE1A54" w14:textId="77777777" w:rsidR="00CB2FF5" w:rsidRPr="00F02ABE"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r w:rsidRPr="00F02ABE">
        <w:rPr>
          <w:rFonts w:ascii="Times New Roman" w:hAnsi="Times New Roman"/>
          <w:color w:val="000000"/>
          <w:sz w:val="24"/>
          <w:szCs w:val="24"/>
          <w:lang w:eastAsia="pt-BR"/>
        </w:rPr>
        <w:lastRenderedPageBreak/>
        <w:t xml:space="preserve">As Despesas Orçamentárias possuem duas classificações: ordinárias e vinculadas. </w:t>
      </w:r>
      <w:r w:rsidRPr="00F02ABE">
        <w:rPr>
          <w:rFonts w:ascii="Times New Roman" w:hAnsi="Times New Roman"/>
          <w:sz w:val="24"/>
          <w:szCs w:val="24"/>
          <w:lang w:eastAsia="pt-BR"/>
        </w:rPr>
        <w:t xml:space="preserve">As </w:t>
      </w:r>
      <w:r w:rsidRPr="00F02ABE">
        <w:rPr>
          <w:rFonts w:ascii="Times New Roman" w:hAnsi="Times New Roman"/>
          <w:i/>
          <w:iCs/>
          <w:sz w:val="24"/>
          <w:szCs w:val="24"/>
          <w:lang w:eastAsia="pt-BR"/>
        </w:rPr>
        <w:t xml:space="preserve">Despesas Orçamentárias Ordinárias </w:t>
      </w:r>
      <w:r w:rsidRPr="00F02ABE">
        <w:rPr>
          <w:rFonts w:ascii="Times New Roman" w:hAnsi="Times New Roman"/>
          <w:sz w:val="24"/>
          <w:szCs w:val="24"/>
          <w:lang w:eastAsia="pt-BR"/>
        </w:rPr>
        <w:t xml:space="preserve">compreendem as despesas de livre alocação entre a sua origem e a aplicação de recursos destinadas a atender a quaisquer finalidades. As </w:t>
      </w:r>
      <w:r w:rsidRPr="00F02ABE">
        <w:rPr>
          <w:rFonts w:ascii="Times New Roman" w:hAnsi="Times New Roman"/>
          <w:i/>
          <w:iCs/>
          <w:sz w:val="24"/>
          <w:szCs w:val="24"/>
          <w:lang w:eastAsia="pt-BR"/>
        </w:rPr>
        <w:t xml:space="preserve">Despesas Orçamentárias Vinculadas </w:t>
      </w:r>
      <w:r w:rsidRPr="00F02ABE">
        <w:rPr>
          <w:rFonts w:ascii="Times New Roman" w:hAnsi="Times New Roman"/>
          <w:sz w:val="24"/>
          <w:szCs w:val="24"/>
          <w:lang w:eastAsia="pt-BR"/>
        </w:rPr>
        <w:t>compreendem aquelas cuja destinação é definida em lei, estando os recursos atrelados a determinados programas, atividades, órgãos ou fundos etc.</w:t>
      </w:r>
    </w:p>
    <w:p w14:paraId="4374E4FA" w14:textId="1C115C0E" w:rsidR="00CB2FF5" w:rsidRPr="00F02ABE"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r w:rsidRPr="00F02ABE">
        <w:rPr>
          <w:rFonts w:ascii="Times New Roman" w:hAnsi="Times New Roman"/>
          <w:sz w:val="24"/>
          <w:szCs w:val="24"/>
          <w:lang w:eastAsia="pt-BR"/>
        </w:rPr>
        <w:t xml:space="preserve">As Despesas Ordinárias apresentam a maior composição, </w:t>
      </w:r>
      <w:r w:rsidRPr="00F02ABE">
        <w:rPr>
          <w:rFonts w:ascii="Times New Roman" w:hAnsi="Times New Roman"/>
          <w:b/>
          <w:bCs/>
          <w:sz w:val="24"/>
          <w:szCs w:val="24"/>
          <w:lang w:eastAsia="pt-BR"/>
        </w:rPr>
        <w:t xml:space="preserve">R$ </w:t>
      </w:r>
      <w:r w:rsidR="0079274D" w:rsidRPr="0079274D">
        <w:rPr>
          <w:rFonts w:ascii="Times New Roman" w:hAnsi="Times New Roman"/>
          <w:b/>
          <w:color w:val="000000"/>
          <w:sz w:val="24"/>
          <w:szCs w:val="24"/>
          <w:lang w:eastAsia="pt-BR"/>
        </w:rPr>
        <w:t>603.826.440,14</w:t>
      </w:r>
      <w:r w:rsidRPr="00F02ABE">
        <w:rPr>
          <w:rFonts w:ascii="Times New Roman" w:hAnsi="Times New Roman"/>
          <w:sz w:val="24"/>
          <w:szCs w:val="24"/>
          <w:lang w:eastAsia="pt-BR"/>
        </w:rPr>
        <w:t xml:space="preserve">, aproximadamente </w:t>
      </w:r>
      <w:r w:rsidR="0079274D">
        <w:rPr>
          <w:rFonts w:ascii="Times New Roman" w:hAnsi="Times New Roman"/>
          <w:sz w:val="24"/>
          <w:szCs w:val="24"/>
          <w:lang w:eastAsia="pt-BR"/>
        </w:rPr>
        <w:t>69,65</w:t>
      </w:r>
      <w:r w:rsidRPr="00F02ABE">
        <w:rPr>
          <w:rFonts w:ascii="Times New Roman" w:hAnsi="Times New Roman"/>
          <w:sz w:val="24"/>
          <w:szCs w:val="24"/>
          <w:lang w:eastAsia="pt-BR"/>
        </w:rPr>
        <w:t xml:space="preserve">% do total dos Dispêndios, e apresentou um acréscimo de </w:t>
      </w:r>
      <w:r w:rsidR="0079274D">
        <w:rPr>
          <w:rFonts w:ascii="Times New Roman" w:hAnsi="Times New Roman"/>
          <w:sz w:val="24"/>
          <w:szCs w:val="24"/>
          <w:lang w:eastAsia="pt-BR"/>
        </w:rPr>
        <w:t>9,54</w:t>
      </w:r>
      <w:r w:rsidRPr="00F02ABE">
        <w:rPr>
          <w:rFonts w:ascii="Times New Roman" w:hAnsi="Times New Roman"/>
          <w:sz w:val="24"/>
          <w:szCs w:val="24"/>
          <w:lang w:eastAsia="pt-BR"/>
        </w:rPr>
        <w:t xml:space="preserve">% em relação ao mesmo trimestre do exercício anterior. A análise vertical foi calculada com base no valor total dos Dispêndios, ou seja, </w:t>
      </w:r>
      <w:r w:rsidRPr="00F02ABE">
        <w:rPr>
          <w:rFonts w:ascii="Times New Roman" w:hAnsi="Times New Roman"/>
          <w:b/>
          <w:bCs/>
          <w:sz w:val="24"/>
          <w:szCs w:val="24"/>
          <w:lang w:eastAsia="pt-BR"/>
        </w:rPr>
        <w:t xml:space="preserve">R$ </w:t>
      </w:r>
      <w:r w:rsidR="0079274D">
        <w:rPr>
          <w:rFonts w:ascii="Times New Roman" w:hAnsi="Times New Roman"/>
          <w:b/>
          <w:bCs/>
          <w:sz w:val="24"/>
          <w:szCs w:val="24"/>
          <w:lang w:eastAsia="pt-BR"/>
        </w:rPr>
        <w:t>863.258.666,25</w:t>
      </w:r>
      <w:r>
        <w:rPr>
          <w:rFonts w:ascii="Times New Roman" w:hAnsi="Times New Roman"/>
          <w:b/>
          <w:bCs/>
          <w:sz w:val="24"/>
          <w:szCs w:val="24"/>
          <w:lang w:eastAsia="pt-BR"/>
        </w:rPr>
        <w:t>.</w:t>
      </w:r>
    </w:p>
    <w:p w14:paraId="76812A33" w14:textId="77777777" w:rsidR="00CB2FF5" w:rsidRPr="00F02ABE"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p>
    <w:p w14:paraId="543CEF7F" w14:textId="77777777" w:rsidR="00CB2FF5" w:rsidRDefault="00CB2FF5" w:rsidP="00CB2FF5">
      <w:pPr>
        <w:autoSpaceDE w:val="0"/>
        <w:autoSpaceDN w:val="0"/>
        <w:adjustRightInd w:val="0"/>
        <w:spacing w:after="0" w:line="240" w:lineRule="auto"/>
        <w:ind w:left="1560"/>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Tabela 25 – Composição das despesas orçamentárias do IFPI</w:t>
      </w:r>
    </w:p>
    <w:p w14:paraId="40BCB679" w14:textId="77777777" w:rsidR="00CB2FF5" w:rsidRPr="00F02ABE" w:rsidRDefault="00CB2FF5" w:rsidP="00CB2FF5">
      <w:pPr>
        <w:autoSpaceDE w:val="0"/>
        <w:autoSpaceDN w:val="0"/>
        <w:adjustRightInd w:val="0"/>
        <w:spacing w:after="0" w:line="240" w:lineRule="auto"/>
        <w:ind w:left="1560"/>
        <w:jc w:val="right"/>
        <w:rPr>
          <w:rFonts w:ascii="Times New Roman" w:hAnsi="Times New Roman"/>
          <w:color w:val="000000"/>
          <w:sz w:val="24"/>
          <w:szCs w:val="24"/>
          <w:lang w:eastAsia="pt-BR"/>
        </w:rPr>
      </w:pPr>
      <w:r>
        <w:rPr>
          <w:rFonts w:ascii="Times New Roman" w:hAnsi="Times New Roman"/>
          <w:color w:val="000000"/>
          <w:sz w:val="24"/>
          <w:szCs w:val="24"/>
          <w:lang w:eastAsia="pt-BR"/>
        </w:rPr>
        <w:t xml:space="preserve">                                                                                                                                                                                                             R$ 1,00   </w:t>
      </w:r>
      <w:r w:rsidRPr="00F02ABE">
        <w:rPr>
          <w:rFonts w:ascii="Times New Roman" w:hAnsi="Times New Roman"/>
          <w:color w:val="000000"/>
          <w:sz w:val="24"/>
          <w:szCs w:val="24"/>
          <w:lang w:eastAsia="pt-BR"/>
        </w:rPr>
        <w:t xml:space="preserve">                                                                                                                                                                                                                                                       </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2545"/>
        <w:gridCol w:w="2184"/>
        <w:gridCol w:w="1798"/>
        <w:gridCol w:w="1603"/>
      </w:tblGrid>
      <w:tr w:rsidR="00CB2FF5" w:rsidRPr="00F02ABE" w14:paraId="2E8613F0" w14:textId="77777777" w:rsidTr="00CA4374">
        <w:tc>
          <w:tcPr>
            <w:tcW w:w="4303" w:type="dxa"/>
            <w:vMerge w:val="restart"/>
            <w:shd w:val="clear" w:color="auto" w:fill="auto"/>
            <w:vAlign w:val="center"/>
          </w:tcPr>
          <w:p w14:paraId="22B129E8" w14:textId="77777777" w:rsidR="00CB2FF5" w:rsidRPr="00A42D2E" w:rsidRDefault="00CB2FF5" w:rsidP="00242CBD">
            <w:pPr>
              <w:autoSpaceDE w:val="0"/>
              <w:autoSpaceDN w:val="0"/>
              <w:adjustRightInd w:val="0"/>
              <w:spacing w:after="0" w:line="240" w:lineRule="auto"/>
              <w:jc w:val="center"/>
              <w:rPr>
                <w:rFonts w:ascii="Times New Roman" w:hAnsi="Times New Roman"/>
                <w:b/>
                <w:bCs/>
                <w:color w:val="000000"/>
                <w:sz w:val="24"/>
                <w:szCs w:val="24"/>
                <w:lang w:eastAsia="pt-BR"/>
              </w:rPr>
            </w:pPr>
            <w:r w:rsidRPr="00A42D2E">
              <w:rPr>
                <w:rFonts w:ascii="Times New Roman" w:hAnsi="Times New Roman"/>
                <w:b/>
                <w:bCs/>
                <w:color w:val="000000"/>
                <w:sz w:val="24"/>
                <w:szCs w:val="24"/>
                <w:lang w:eastAsia="pt-BR"/>
              </w:rPr>
              <w:t>DESPESAS ORÇAMENTÁRIAS</w:t>
            </w:r>
          </w:p>
        </w:tc>
        <w:tc>
          <w:tcPr>
            <w:tcW w:w="2545" w:type="dxa"/>
            <w:shd w:val="clear" w:color="auto" w:fill="auto"/>
          </w:tcPr>
          <w:p w14:paraId="01A17CFB" w14:textId="77777777" w:rsidR="00CB2FF5" w:rsidRPr="00A42D2E" w:rsidRDefault="00CB2FF5" w:rsidP="00242CBD">
            <w:pPr>
              <w:autoSpaceDE w:val="0"/>
              <w:autoSpaceDN w:val="0"/>
              <w:adjustRightInd w:val="0"/>
              <w:spacing w:after="0" w:line="240" w:lineRule="auto"/>
              <w:jc w:val="center"/>
              <w:rPr>
                <w:rFonts w:ascii="Times New Roman" w:hAnsi="Times New Roman"/>
                <w:b/>
                <w:bCs/>
                <w:color w:val="000000"/>
                <w:sz w:val="24"/>
                <w:szCs w:val="24"/>
                <w:lang w:eastAsia="pt-BR"/>
              </w:rPr>
            </w:pPr>
            <w:r w:rsidRPr="00A42D2E">
              <w:rPr>
                <w:rFonts w:ascii="Times New Roman" w:hAnsi="Times New Roman"/>
                <w:b/>
                <w:bCs/>
                <w:color w:val="000000"/>
                <w:sz w:val="24"/>
                <w:szCs w:val="24"/>
                <w:lang w:eastAsia="pt-BR"/>
              </w:rPr>
              <w:t>202</w:t>
            </w:r>
            <w:r>
              <w:rPr>
                <w:rFonts w:ascii="Times New Roman" w:hAnsi="Times New Roman"/>
                <w:b/>
                <w:bCs/>
                <w:color w:val="000000"/>
                <w:sz w:val="24"/>
                <w:szCs w:val="24"/>
                <w:lang w:eastAsia="pt-BR"/>
              </w:rPr>
              <w:t>4</w:t>
            </w:r>
          </w:p>
        </w:tc>
        <w:tc>
          <w:tcPr>
            <w:tcW w:w="2184" w:type="dxa"/>
            <w:shd w:val="clear" w:color="auto" w:fill="auto"/>
          </w:tcPr>
          <w:p w14:paraId="2B44588A" w14:textId="77777777" w:rsidR="00CB2FF5" w:rsidRPr="00A42D2E" w:rsidRDefault="00CB2FF5" w:rsidP="00242CBD">
            <w:pPr>
              <w:autoSpaceDE w:val="0"/>
              <w:autoSpaceDN w:val="0"/>
              <w:adjustRightInd w:val="0"/>
              <w:spacing w:after="0" w:line="240" w:lineRule="auto"/>
              <w:jc w:val="center"/>
              <w:rPr>
                <w:rFonts w:ascii="Times New Roman" w:hAnsi="Times New Roman"/>
                <w:b/>
                <w:bCs/>
                <w:color w:val="000000"/>
                <w:sz w:val="24"/>
                <w:szCs w:val="24"/>
                <w:lang w:eastAsia="pt-BR"/>
              </w:rPr>
            </w:pPr>
            <w:r w:rsidRPr="00A42D2E">
              <w:rPr>
                <w:rFonts w:ascii="Times New Roman" w:hAnsi="Times New Roman"/>
                <w:b/>
                <w:bCs/>
                <w:color w:val="000000"/>
                <w:sz w:val="24"/>
                <w:szCs w:val="24"/>
                <w:lang w:eastAsia="pt-BR"/>
              </w:rPr>
              <w:t>202</w:t>
            </w:r>
            <w:r>
              <w:rPr>
                <w:rFonts w:ascii="Times New Roman" w:hAnsi="Times New Roman"/>
                <w:b/>
                <w:bCs/>
                <w:color w:val="000000"/>
                <w:sz w:val="24"/>
                <w:szCs w:val="24"/>
                <w:lang w:eastAsia="pt-BR"/>
              </w:rPr>
              <w:t>3</w:t>
            </w:r>
          </w:p>
        </w:tc>
        <w:tc>
          <w:tcPr>
            <w:tcW w:w="1798" w:type="dxa"/>
            <w:shd w:val="clear" w:color="auto" w:fill="auto"/>
          </w:tcPr>
          <w:p w14:paraId="7805782D" w14:textId="77777777" w:rsidR="00CB2FF5" w:rsidRPr="00A42D2E" w:rsidRDefault="00CB2FF5" w:rsidP="00242CBD">
            <w:pPr>
              <w:autoSpaceDE w:val="0"/>
              <w:autoSpaceDN w:val="0"/>
              <w:adjustRightInd w:val="0"/>
              <w:spacing w:after="0" w:line="240" w:lineRule="auto"/>
              <w:jc w:val="center"/>
              <w:rPr>
                <w:rFonts w:ascii="Times New Roman" w:hAnsi="Times New Roman"/>
                <w:b/>
                <w:bCs/>
                <w:color w:val="000000"/>
                <w:sz w:val="24"/>
                <w:szCs w:val="24"/>
                <w:lang w:eastAsia="pt-BR"/>
              </w:rPr>
            </w:pPr>
            <w:r w:rsidRPr="00A42D2E">
              <w:rPr>
                <w:rFonts w:ascii="Times New Roman" w:hAnsi="Times New Roman"/>
                <w:b/>
                <w:bCs/>
                <w:color w:val="000000"/>
                <w:sz w:val="24"/>
                <w:szCs w:val="24"/>
                <w:lang w:eastAsia="pt-BR"/>
              </w:rPr>
              <w:t>AH (%)</w:t>
            </w:r>
          </w:p>
        </w:tc>
        <w:tc>
          <w:tcPr>
            <w:tcW w:w="1603" w:type="dxa"/>
            <w:shd w:val="clear" w:color="auto" w:fill="auto"/>
          </w:tcPr>
          <w:p w14:paraId="04E05E16" w14:textId="77777777" w:rsidR="00CB2FF5" w:rsidRPr="00A42D2E" w:rsidRDefault="00CB2FF5" w:rsidP="00242CBD">
            <w:pPr>
              <w:autoSpaceDE w:val="0"/>
              <w:autoSpaceDN w:val="0"/>
              <w:adjustRightInd w:val="0"/>
              <w:spacing w:after="0" w:line="240" w:lineRule="auto"/>
              <w:jc w:val="center"/>
              <w:rPr>
                <w:rFonts w:ascii="Times New Roman" w:hAnsi="Times New Roman"/>
                <w:b/>
                <w:bCs/>
                <w:color w:val="000000"/>
                <w:sz w:val="24"/>
                <w:szCs w:val="24"/>
                <w:lang w:eastAsia="pt-BR"/>
              </w:rPr>
            </w:pPr>
            <w:r w:rsidRPr="00A42D2E">
              <w:rPr>
                <w:rFonts w:ascii="Times New Roman" w:hAnsi="Times New Roman"/>
                <w:b/>
                <w:bCs/>
                <w:color w:val="000000"/>
                <w:sz w:val="24"/>
                <w:szCs w:val="24"/>
                <w:lang w:eastAsia="pt-BR"/>
              </w:rPr>
              <w:t>AV (%)202</w:t>
            </w:r>
            <w:r>
              <w:rPr>
                <w:rFonts w:ascii="Times New Roman" w:hAnsi="Times New Roman"/>
                <w:b/>
                <w:bCs/>
                <w:color w:val="000000"/>
                <w:sz w:val="24"/>
                <w:szCs w:val="24"/>
                <w:lang w:eastAsia="pt-BR"/>
              </w:rPr>
              <w:t>4</w:t>
            </w:r>
          </w:p>
        </w:tc>
      </w:tr>
      <w:tr w:rsidR="0057005A" w:rsidRPr="00F02ABE" w14:paraId="4BBE8CD2" w14:textId="77777777" w:rsidTr="00CA4374">
        <w:tc>
          <w:tcPr>
            <w:tcW w:w="4303" w:type="dxa"/>
            <w:vMerge/>
            <w:shd w:val="clear" w:color="auto" w:fill="auto"/>
          </w:tcPr>
          <w:p w14:paraId="68B79C87" w14:textId="77777777" w:rsidR="0057005A" w:rsidRPr="00A42D2E" w:rsidRDefault="0057005A" w:rsidP="0057005A">
            <w:pPr>
              <w:autoSpaceDE w:val="0"/>
              <w:autoSpaceDN w:val="0"/>
              <w:adjustRightInd w:val="0"/>
              <w:spacing w:after="0" w:line="240" w:lineRule="auto"/>
              <w:jc w:val="both"/>
              <w:rPr>
                <w:rFonts w:ascii="Times New Roman" w:hAnsi="Times New Roman"/>
                <w:b/>
                <w:bCs/>
                <w:color w:val="000000"/>
                <w:sz w:val="24"/>
                <w:szCs w:val="24"/>
                <w:lang w:eastAsia="pt-BR"/>
              </w:rPr>
            </w:pPr>
          </w:p>
        </w:tc>
        <w:tc>
          <w:tcPr>
            <w:tcW w:w="2545" w:type="dxa"/>
            <w:shd w:val="clear" w:color="auto" w:fill="auto"/>
          </w:tcPr>
          <w:p w14:paraId="66FCC5AD" w14:textId="7E73B011" w:rsidR="0057005A" w:rsidRPr="00AA3269" w:rsidRDefault="006A4CE6" w:rsidP="0057005A">
            <w:pPr>
              <w:spacing w:after="0" w:line="240" w:lineRule="auto"/>
              <w:jc w:val="right"/>
              <w:rPr>
                <w:rFonts w:ascii="Times New Roman" w:hAnsi="Times New Roman"/>
                <w:b/>
                <w:bCs/>
                <w:color w:val="000000"/>
                <w:sz w:val="24"/>
                <w:szCs w:val="24"/>
                <w:lang w:eastAsia="pt-BR"/>
              </w:rPr>
            </w:pPr>
            <w:r>
              <w:rPr>
                <w:rFonts w:ascii="Times New Roman" w:hAnsi="Times New Roman"/>
                <w:b/>
                <w:bCs/>
                <w:color w:val="000000"/>
                <w:sz w:val="24"/>
                <w:szCs w:val="24"/>
                <w:lang w:eastAsia="pt-BR"/>
              </w:rPr>
              <w:t>672.421.964,59</w:t>
            </w:r>
          </w:p>
        </w:tc>
        <w:tc>
          <w:tcPr>
            <w:tcW w:w="2184" w:type="dxa"/>
            <w:shd w:val="clear" w:color="auto" w:fill="auto"/>
          </w:tcPr>
          <w:p w14:paraId="0A386780" w14:textId="7FB8F302" w:rsidR="0057005A" w:rsidRPr="00AA3269" w:rsidRDefault="006A4CE6" w:rsidP="0057005A">
            <w:pPr>
              <w:spacing w:after="0" w:line="240" w:lineRule="auto"/>
              <w:jc w:val="right"/>
              <w:rPr>
                <w:rFonts w:ascii="Times New Roman" w:hAnsi="Times New Roman"/>
                <w:b/>
                <w:bCs/>
                <w:color w:val="000000"/>
                <w:sz w:val="24"/>
                <w:szCs w:val="24"/>
                <w:lang w:eastAsia="pt-BR"/>
              </w:rPr>
            </w:pPr>
            <w:r>
              <w:rPr>
                <w:rFonts w:ascii="Times New Roman" w:hAnsi="Times New Roman"/>
                <w:b/>
                <w:bCs/>
                <w:color w:val="000000"/>
                <w:sz w:val="24"/>
                <w:szCs w:val="24"/>
                <w:lang w:eastAsia="pt-BR"/>
              </w:rPr>
              <w:t>613.884.894,55</w:t>
            </w:r>
          </w:p>
        </w:tc>
        <w:tc>
          <w:tcPr>
            <w:tcW w:w="1798" w:type="dxa"/>
            <w:shd w:val="clear" w:color="auto" w:fill="auto"/>
          </w:tcPr>
          <w:p w14:paraId="30E75153" w14:textId="588B77FE" w:rsidR="0057005A" w:rsidRPr="00AA3269" w:rsidRDefault="006A4CE6" w:rsidP="0057005A">
            <w:pPr>
              <w:autoSpaceDE w:val="0"/>
              <w:autoSpaceDN w:val="0"/>
              <w:adjustRightInd w:val="0"/>
              <w:spacing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9,54</w:t>
            </w:r>
          </w:p>
        </w:tc>
        <w:tc>
          <w:tcPr>
            <w:tcW w:w="1603" w:type="dxa"/>
            <w:shd w:val="clear" w:color="auto" w:fill="auto"/>
          </w:tcPr>
          <w:p w14:paraId="35279CFE" w14:textId="11A8F1DE" w:rsidR="0057005A" w:rsidRPr="00AA3269" w:rsidRDefault="006A4CE6" w:rsidP="0057005A">
            <w:pPr>
              <w:autoSpaceDE w:val="0"/>
              <w:autoSpaceDN w:val="0"/>
              <w:adjustRightInd w:val="0"/>
              <w:spacing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77,89</w:t>
            </w:r>
          </w:p>
        </w:tc>
      </w:tr>
      <w:tr w:rsidR="0057005A" w:rsidRPr="00F02ABE" w14:paraId="666B2E13" w14:textId="77777777" w:rsidTr="00CA4374">
        <w:tc>
          <w:tcPr>
            <w:tcW w:w="4303" w:type="dxa"/>
            <w:shd w:val="clear" w:color="auto" w:fill="auto"/>
          </w:tcPr>
          <w:p w14:paraId="682D383E" w14:textId="77777777" w:rsidR="0057005A" w:rsidRPr="00A42D2E" w:rsidRDefault="0057005A" w:rsidP="0057005A">
            <w:pPr>
              <w:autoSpaceDE w:val="0"/>
              <w:autoSpaceDN w:val="0"/>
              <w:adjustRightInd w:val="0"/>
              <w:spacing w:after="0" w:line="240" w:lineRule="auto"/>
              <w:jc w:val="both"/>
              <w:rPr>
                <w:rFonts w:ascii="Times New Roman" w:hAnsi="Times New Roman"/>
                <w:bCs/>
                <w:color w:val="000000"/>
                <w:sz w:val="24"/>
                <w:szCs w:val="24"/>
                <w:lang w:eastAsia="pt-BR"/>
              </w:rPr>
            </w:pPr>
            <w:r w:rsidRPr="00A42D2E">
              <w:rPr>
                <w:rFonts w:ascii="Times New Roman" w:hAnsi="Times New Roman"/>
                <w:bCs/>
                <w:color w:val="000000"/>
                <w:sz w:val="24"/>
                <w:szCs w:val="24"/>
                <w:lang w:eastAsia="pt-BR"/>
              </w:rPr>
              <w:t xml:space="preserve">Ordinárias </w:t>
            </w:r>
          </w:p>
        </w:tc>
        <w:tc>
          <w:tcPr>
            <w:tcW w:w="2545" w:type="dxa"/>
            <w:shd w:val="clear" w:color="auto" w:fill="auto"/>
          </w:tcPr>
          <w:p w14:paraId="29D38834" w14:textId="21AC9D55" w:rsidR="0057005A" w:rsidRPr="00A42D2E" w:rsidRDefault="006A4CE6" w:rsidP="0057005A">
            <w:pPr>
              <w:spacing w:after="0" w:line="240" w:lineRule="auto"/>
              <w:jc w:val="right"/>
              <w:rPr>
                <w:rFonts w:ascii="Times New Roman" w:hAnsi="Times New Roman"/>
                <w:bCs/>
                <w:color w:val="000000"/>
                <w:sz w:val="24"/>
                <w:szCs w:val="24"/>
                <w:lang w:eastAsia="pt-BR"/>
              </w:rPr>
            </w:pPr>
            <w:r>
              <w:rPr>
                <w:rFonts w:ascii="Times New Roman" w:hAnsi="Times New Roman"/>
                <w:bCs/>
                <w:color w:val="000000"/>
                <w:sz w:val="24"/>
                <w:szCs w:val="24"/>
                <w:lang w:eastAsia="pt-BR"/>
              </w:rPr>
              <w:t>603.826.440,14</w:t>
            </w:r>
          </w:p>
        </w:tc>
        <w:tc>
          <w:tcPr>
            <w:tcW w:w="2184" w:type="dxa"/>
            <w:shd w:val="clear" w:color="auto" w:fill="auto"/>
          </w:tcPr>
          <w:p w14:paraId="331CF906" w14:textId="56CA22F8" w:rsidR="0057005A" w:rsidRPr="00A42D2E" w:rsidRDefault="006A4CE6" w:rsidP="0057005A">
            <w:pPr>
              <w:spacing w:after="0" w:line="240" w:lineRule="auto"/>
              <w:jc w:val="right"/>
              <w:rPr>
                <w:rFonts w:ascii="Times New Roman" w:hAnsi="Times New Roman"/>
                <w:bCs/>
                <w:color w:val="000000"/>
                <w:sz w:val="24"/>
                <w:szCs w:val="24"/>
                <w:lang w:eastAsia="pt-BR"/>
              </w:rPr>
            </w:pPr>
            <w:r>
              <w:rPr>
                <w:rFonts w:ascii="Times New Roman" w:hAnsi="Times New Roman"/>
                <w:bCs/>
                <w:color w:val="000000"/>
                <w:sz w:val="24"/>
                <w:szCs w:val="24"/>
                <w:lang w:eastAsia="pt-BR"/>
              </w:rPr>
              <w:t>543.690.649,41</w:t>
            </w:r>
          </w:p>
        </w:tc>
        <w:tc>
          <w:tcPr>
            <w:tcW w:w="1798" w:type="dxa"/>
            <w:shd w:val="clear" w:color="auto" w:fill="auto"/>
          </w:tcPr>
          <w:p w14:paraId="798A359D" w14:textId="17123F0B" w:rsidR="0057005A" w:rsidRPr="00A42D2E" w:rsidRDefault="006A4CE6" w:rsidP="0057005A">
            <w:pPr>
              <w:autoSpaceDE w:val="0"/>
              <w:autoSpaceDN w:val="0"/>
              <w:adjustRightInd w:val="0"/>
              <w:spacing w:after="0" w:line="240" w:lineRule="auto"/>
              <w:jc w:val="center"/>
              <w:rPr>
                <w:rFonts w:ascii="Times New Roman" w:hAnsi="Times New Roman"/>
                <w:bCs/>
                <w:color w:val="000000"/>
                <w:sz w:val="24"/>
                <w:szCs w:val="24"/>
                <w:lang w:eastAsia="pt-BR"/>
              </w:rPr>
            </w:pPr>
            <w:r>
              <w:rPr>
                <w:rFonts w:ascii="Times New Roman" w:hAnsi="Times New Roman"/>
                <w:bCs/>
                <w:color w:val="000000"/>
                <w:sz w:val="24"/>
                <w:szCs w:val="24"/>
                <w:lang w:eastAsia="pt-BR"/>
              </w:rPr>
              <w:t>11,06</w:t>
            </w:r>
          </w:p>
        </w:tc>
        <w:tc>
          <w:tcPr>
            <w:tcW w:w="1603" w:type="dxa"/>
            <w:shd w:val="clear" w:color="auto" w:fill="auto"/>
          </w:tcPr>
          <w:p w14:paraId="4637D174" w14:textId="66590837" w:rsidR="0057005A" w:rsidRPr="00A42D2E" w:rsidRDefault="006A4CE6" w:rsidP="0057005A">
            <w:pPr>
              <w:autoSpaceDE w:val="0"/>
              <w:autoSpaceDN w:val="0"/>
              <w:adjustRightInd w:val="0"/>
              <w:spacing w:after="0" w:line="240" w:lineRule="auto"/>
              <w:jc w:val="center"/>
              <w:rPr>
                <w:rFonts w:ascii="Times New Roman" w:hAnsi="Times New Roman"/>
                <w:bCs/>
                <w:color w:val="000000"/>
                <w:sz w:val="24"/>
                <w:szCs w:val="24"/>
                <w:lang w:eastAsia="pt-BR"/>
              </w:rPr>
            </w:pPr>
            <w:r>
              <w:rPr>
                <w:rFonts w:ascii="Times New Roman" w:hAnsi="Times New Roman"/>
                <w:bCs/>
                <w:color w:val="000000"/>
                <w:sz w:val="24"/>
                <w:szCs w:val="24"/>
                <w:lang w:eastAsia="pt-BR"/>
              </w:rPr>
              <w:t>69,95</w:t>
            </w:r>
          </w:p>
        </w:tc>
      </w:tr>
      <w:tr w:rsidR="0057005A" w:rsidRPr="00F02ABE" w14:paraId="3D82E322" w14:textId="77777777" w:rsidTr="00CA4374">
        <w:tc>
          <w:tcPr>
            <w:tcW w:w="4303" w:type="dxa"/>
            <w:shd w:val="clear" w:color="auto" w:fill="auto"/>
          </w:tcPr>
          <w:p w14:paraId="38D36E10" w14:textId="77777777" w:rsidR="0057005A" w:rsidRPr="00A42D2E" w:rsidRDefault="0057005A" w:rsidP="0057005A">
            <w:pPr>
              <w:autoSpaceDE w:val="0"/>
              <w:autoSpaceDN w:val="0"/>
              <w:adjustRightInd w:val="0"/>
              <w:spacing w:after="0" w:line="240" w:lineRule="auto"/>
              <w:jc w:val="both"/>
              <w:rPr>
                <w:rFonts w:ascii="Times New Roman" w:hAnsi="Times New Roman"/>
                <w:bCs/>
                <w:color w:val="000000"/>
                <w:sz w:val="24"/>
                <w:szCs w:val="24"/>
                <w:lang w:eastAsia="pt-BR"/>
              </w:rPr>
            </w:pPr>
            <w:r w:rsidRPr="00A42D2E">
              <w:rPr>
                <w:rFonts w:ascii="Times New Roman" w:hAnsi="Times New Roman"/>
                <w:bCs/>
                <w:color w:val="000000"/>
                <w:sz w:val="24"/>
                <w:szCs w:val="24"/>
                <w:lang w:eastAsia="pt-BR"/>
              </w:rPr>
              <w:t>Vinculadas</w:t>
            </w:r>
          </w:p>
        </w:tc>
        <w:tc>
          <w:tcPr>
            <w:tcW w:w="2545" w:type="dxa"/>
            <w:shd w:val="clear" w:color="auto" w:fill="auto"/>
          </w:tcPr>
          <w:p w14:paraId="22322984" w14:textId="4A7ED047" w:rsidR="0057005A" w:rsidRPr="00A42D2E" w:rsidRDefault="006A4CE6" w:rsidP="0057005A">
            <w:pPr>
              <w:spacing w:after="0" w:line="240" w:lineRule="auto"/>
              <w:jc w:val="right"/>
              <w:rPr>
                <w:rFonts w:ascii="Times New Roman" w:hAnsi="Times New Roman"/>
                <w:bCs/>
                <w:color w:val="000000"/>
                <w:sz w:val="24"/>
                <w:szCs w:val="24"/>
                <w:lang w:eastAsia="pt-BR"/>
              </w:rPr>
            </w:pPr>
            <w:r>
              <w:rPr>
                <w:rFonts w:ascii="Times New Roman" w:hAnsi="Times New Roman"/>
                <w:bCs/>
                <w:color w:val="000000"/>
                <w:sz w:val="24"/>
                <w:szCs w:val="24"/>
                <w:lang w:eastAsia="pt-BR"/>
              </w:rPr>
              <w:t>68.595.524,45</w:t>
            </w:r>
          </w:p>
        </w:tc>
        <w:tc>
          <w:tcPr>
            <w:tcW w:w="2184" w:type="dxa"/>
            <w:shd w:val="clear" w:color="auto" w:fill="auto"/>
          </w:tcPr>
          <w:p w14:paraId="796F6E4A" w14:textId="67C8B17E" w:rsidR="0057005A" w:rsidRPr="00A42D2E" w:rsidRDefault="006A4CE6" w:rsidP="0057005A">
            <w:pPr>
              <w:spacing w:after="0" w:line="240" w:lineRule="auto"/>
              <w:jc w:val="right"/>
              <w:rPr>
                <w:rFonts w:ascii="Times New Roman" w:hAnsi="Times New Roman"/>
                <w:bCs/>
                <w:color w:val="000000"/>
                <w:sz w:val="24"/>
                <w:szCs w:val="24"/>
                <w:lang w:eastAsia="pt-BR"/>
              </w:rPr>
            </w:pPr>
            <w:r>
              <w:rPr>
                <w:rFonts w:ascii="Times New Roman" w:hAnsi="Times New Roman"/>
                <w:bCs/>
                <w:color w:val="000000"/>
                <w:sz w:val="24"/>
                <w:szCs w:val="24"/>
                <w:lang w:eastAsia="pt-BR"/>
              </w:rPr>
              <w:t>70.194.245,14</w:t>
            </w:r>
          </w:p>
        </w:tc>
        <w:tc>
          <w:tcPr>
            <w:tcW w:w="1798" w:type="dxa"/>
            <w:shd w:val="clear" w:color="auto" w:fill="auto"/>
          </w:tcPr>
          <w:p w14:paraId="42E6F5B5" w14:textId="6859941A" w:rsidR="0057005A" w:rsidRPr="00A42D2E" w:rsidRDefault="0079274D" w:rsidP="0057005A">
            <w:pPr>
              <w:autoSpaceDE w:val="0"/>
              <w:autoSpaceDN w:val="0"/>
              <w:adjustRightInd w:val="0"/>
              <w:spacing w:after="0" w:line="240" w:lineRule="auto"/>
              <w:jc w:val="center"/>
              <w:rPr>
                <w:rFonts w:ascii="Times New Roman" w:hAnsi="Times New Roman"/>
                <w:bCs/>
                <w:color w:val="000000"/>
                <w:sz w:val="24"/>
                <w:szCs w:val="24"/>
                <w:lang w:eastAsia="pt-BR"/>
              </w:rPr>
            </w:pPr>
            <w:r>
              <w:rPr>
                <w:rFonts w:ascii="Times New Roman" w:hAnsi="Times New Roman"/>
                <w:bCs/>
                <w:color w:val="000000"/>
                <w:sz w:val="24"/>
                <w:szCs w:val="24"/>
                <w:lang w:eastAsia="pt-BR"/>
              </w:rPr>
              <w:t>-</w:t>
            </w:r>
            <w:r w:rsidR="006A4CE6">
              <w:rPr>
                <w:rFonts w:ascii="Times New Roman" w:hAnsi="Times New Roman"/>
                <w:bCs/>
                <w:color w:val="000000"/>
                <w:sz w:val="24"/>
                <w:szCs w:val="24"/>
                <w:lang w:eastAsia="pt-BR"/>
              </w:rPr>
              <w:t>2,28</w:t>
            </w:r>
          </w:p>
        </w:tc>
        <w:tc>
          <w:tcPr>
            <w:tcW w:w="1603" w:type="dxa"/>
            <w:shd w:val="clear" w:color="auto" w:fill="auto"/>
          </w:tcPr>
          <w:p w14:paraId="316CFF17" w14:textId="2E8670DF" w:rsidR="0057005A" w:rsidRPr="00A42D2E" w:rsidRDefault="006A4CE6" w:rsidP="0057005A">
            <w:pPr>
              <w:autoSpaceDE w:val="0"/>
              <w:autoSpaceDN w:val="0"/>
              <w:adjustRightInd w:val="0"/>
              <w:spacing w:after="0" w:line="240" w:lineRule="auto"/>
              <w:jc w:val="center"/>
              <w:rPr>
                <w:rFonts w:ascii="Times New Roman" w:hAnsi="Times New Roman"/>
                <w:bCs/>
                <w:color w:val="000000"/>
                <w:sz w:val="24"/>
                <w:szCs w:val="24"/>
                <w:lang w:eastAsia="pt-BR"/>
              </w:rPr>
            </w:pPr>
            <w:r>
              <w:rPr>
                <w:rFonts w:ascii="Times New Roman" w:hAnsi="Times New Roman"/>
                <w:bCs/>
                <w:color w:val="000000"/>
                <w:sz w:val="24"/>
                <w:szCs w:val="24"/>
                <w:lang w:eastAsia="pt-BR"/>
              </w:rPr>
              <w:t>7,95</w:t>
            </w:r>
          </w:p>
        </w:tc>
      </w:tr>
    </w:tbl>
    <w:p w14:paraId="615057A8" w14:textId="77777777" w:rsidR="00CB2FF5" w:rsidRPr="0071239A" w:rsidRDefault="00CB2FF5" w:rsidP="00CB2FF5">
      <w:pPr>
        <w:autoSpaceDE w:val="0"/>
        <w:autoSpaceDN w:val="0"/>
        <w:adjustRightInd w:val="0"/>
        <w:spacing w:after="0" w:line="240" w:lineRule="auto"/>
        <w:ind w:left="1560"/>
        <w:jc w:val="both"/>
        <w:rPr>
          <w:rFonts w:ascii="Times New Roman" w:hAnsi="Times New Roman"/>
          <w:color w:val="000000"/>
          <w:sz w:val="20"/>
          <w:szCs w:val="20"/>
          <w:lang w:eastAsia="pt-BR"/>
        </w:rPr>
      </w:pPr>
      <w:r w:rsidRPr="0071239A">
        <w:rPr>
          <w:rFonts w:ascii="Times New Roman" w:hAnsi="Times New Roman"/>
          <w:color w:val="000000"/>
          <w:sz w:val="20"/>
          <w:szCs w:val="20"/>
          <w:lang w:eastAsia="pt-BR"/>
        </w:rPr>
        <w:t>Fonte: SIAFI web, 202</w:t>
      </w:r>
      <w:r>
        <w:rPr>
          <w:rFonts w:ascii="Times New Roman" w:hAnsi="Times New Roman"/>
          <w:color w:val="000000"/>
          <w:sz w:val="20"/>
          <w:szCs w:val="20"/>
          <w:lang w:eastAsia="pt-BR"/>
        </w:rPr>
        <w:t>4</w:t>
      </w:r>
      <w:r w:rsidRPr="0071239A">
        <w:rPr>
          <w:rFonts w:ascii="Times New Roman" w:hAnsi="Times New Roman"/>
          <w:color w:val="000000"/>
          <w:sz w:val="20"/>
          <w:szCs w:val="20"/>
          <w:lang w:eastAsia="pt-BR"/>
        </w:rPr>
        <w:t xml:space="preserve"> e 202</w:t>
      </w:r>
      <w:r>
        <w:rPr>
          <w:rFonts w:ascii="Times New Roman" w:hAnsi="Times New Roman"/>
          <w:color w:val="000000"/>
          <w:sz w:val="20"/>
          <w:szCs w:val="20"/>
          <w:lang w:eastAsia="pt-BR"/>
        </w:rPr>
        <w:t>3</w:t>
      </w:r>
      <w:r w:rsidRPr="0071239A">
        <w:rPr>
          <w:rFonts w:ascii="Times New Roman" w:hAnsi="Times New Roman"/>
          <w:color w:val="000000"/>
          <w:sz w:val="20"/>
          <w:szCs w:val="20"/>
          <w:lang w:eastAsia="pt-BR"/>
        </w:rPr>
        <w:t>.</w:t>
      </w:r>
    </w:p>
    <w:p w14:paraId="623FACBC" w14:textId="77777777" w:rsidR="00CB2FF5"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p>
    <w:p w14:paraId="3FD286EF" w14:textId="77777777" w:rsidR="00CB2FF5" w:rsidRDefault="00CB2FF5" w:rsidP="00CB2FF5">
      <w:pPr>
        <w:autoSpaceDE w:val="0"/>
        <w:autoSpaceDN w:val="0"/>
        <w:adjustRightInd w:val="0"/>
        <w:spacing w:after="0" w:line="240" w:lineRule="auto"/>
        <w:ind w:left="1560"/>
        <w:rPr>
          <w:rFonts w:ascii="Times New Roman" w:hAnsi="Times New Roman"/>
          <w:b/>
          <w:bCs/>
          <w:sz w:val="24"/>
          <w:szCs w:val="24"/>
          <w:lang w:eastAsia="pt-BR"/>
        </w:rPr>
      </w:pPr>
      <w:r w:rsidRPr="00F02ABE">
        <w:rPr>
          <w:rFonts w:ascii="Times New Roman" w:hAnsi="Times New Roman"/>
          <w:b/>
          <w:bCs/>
          <w:sz w:val="24"/>
          <w:szCs w:val="24"/>
          <w:lang w:eastAsia="pt-BR"/>
        </w:rPr>
        <w:t>9.4. Resultado Financeiro</w:t>
      </w:r>
    </w:p>
    <w:p w14:paraId="0A8F421D" w14:textId="77777777" w:rsidR="00CB2FF5" w:rsidRPr="00F02ABE" w:rsidRDefault="00CB2FF5" w:rsidP="00CB2FF5">
      <w:pPr>
        <w:autoSpaceDE w:val="0"/>
        <w:autoSpaceDN w:val="0"/>
        <w:adjustRightInd w:val="0"/>
        <w:spacing w:after="0" w:line="240" w:lineRule="auto"/>
        <w:ind w:left="1560"/>
        <w:rPr>
          <w:rFonts w:ascii="Times New Roman" w:hAnsi="Times New Roman"/>
          <w:b/>
          <w:bCs/>
          <w:sz w:val="24"/>
          <w:szCs w:val="24"/>
          <w:lang w:eastAsia="pt-BR"/>
        </w:rPr>
      </w:pPr>
    </w:p>
    <w:p w14:paraId="34E80A5C" w14:textId="3B7BD77A" w:rsidR="00CB2FF5" w:rsidRPr="00F02ABE"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r w:rsidRPr="00F02ABE">
        <w:rPr>
          <w:rFonts w:ascii="Times New Roman" w:hAnsi="Times New Roman"/>
          <w:sz w:val="24"/>
          <w:szCs w:val="24"/>
          <w:lang w:eastAsia="pt-BR"/>
        </w:rPr>
        <w:t xml:space="preserve">O </w:t>
      </w:r>
      <w:r>
        <w:rPr>
          <w:rFonts w:ascii="Times New Roman" w:hAnsi="Times New Roman"/>
          <w:sz w:val="24"/>
          <w:szCs w:val="24"/>
          <w:lang w:eastAsia="pt-BR"/>
        </w:rPr>
        <w:t>R</w:t>
      </w:r>
      <w:r w:rsidRPr="00F02ABE">
        <w:rPr>
          <w:rFonts w:ascii="Times New Roman" w:hAnsi="Times New Roman"/>
          <w:sz w:val="24"/>
          <w:szCs w:val="24"/>
          <w:lang w:eastAsia="pt-BR"/>
        </w:rPr>
        <w:t xml:space="preserve">esultado </w:t>
      </w:r>
      <w:r>
        <w:rPr>
          <w:rFonts w:ascii="Times New Roman" w:hAnsi="Times New Roman"/>
          <w:sz w:val="24"/>
          <w:szCs w:val="24"/>
          <w:lang w:eastAsia="pt-BR"/>
        </w:rPr>
        <w:t>F</w:t>
      </w:r>
      <w:r w:rsidRPr="00F02ABE">
        <w:rPr>
          <w:rFonts w:ascii="Times New Roman" w:hAnsi="Times New Roman"/>
          <w:sz w:val="24"/>
          <w:szCs w:val="24"/>
          <w:lang w:eastAsia="pt-BR"/>
        </w:rPr>
        <w:t xml:space="preserve">inanceiro do </w:t>
      </w:r>
      <w:r w:rsidR="007E2320">
        <w:rPr>
          <w:rFonts w:ascii="Times New Roman" w:hAnsi="Times New Roman"/>
          <w:sz w:val="24"/>
          <w:szCs w:val="24"/>
          <w:lang w:eastAsia="pt-BR"/>
        </w:rPr>
        <w:t>quart</w:t>
      </w:r>
      <w:r w:rsidR="001C5963">
        <w:rPr>
          <w:rFonts w:ascii="Times New Roman" w:hAnsi="Times New Roman"/>
          <w:sz w:val="24"/>
          <w:szCs w:val="24"/>
          <w:lang w:eastAsia="pt-BR"/>
        </w:rPr>
        <w:t>o</w:t>
      </w:r>
      <w:r>
        <w:rPr>
          <w:rFonts w:ascii="Times New Roman" w:hAnsi="Times New Roman"/>
          <w:sz w:val="24"/>
          <w:szCs w:val="24"/>
          <w:lang w:eastAsia="pt-BR"/>
        </w:rPr>
        <w:t xml:space="preserve"> </w:t>
      </w:r>
      <w:r w:rsidRPr="00F02ABE">
        <w:rPr>
          <w:rFonts w:ascii="Times New Roman" w:hAnsi="Times New Roman"/>
          <w:sz w:val="24"/>
          <w:szCs w:val="24"/>
          <w:lang w:eastAsia="pt-BR"/>
        </w:rPr>
        <w:t>trimestre de 202</w:t>
      </w:r>
      <w:r>
        <w:rPr>
          <w:rFonts w:ascii="Times New Roman" w:hAnsi="Times New Roman"/>
          <w:sz w:val="24"/>
          <w:szCs w:val="24"/>
          <w:lang w:eastAsia="pt-BR"/>
        </w:rPr>
        <w:t>4</w:t>
      </w:r>
      <w:r w:rsidRPr="00F02ABE">
        <w:rPr>
          <w:rFonts w:ascii="Times New Roman" w:hAnsi="Times New Roman"/>
          <w:sz w:val="24"/>
          <w:szCs w:val="24"/>
          <w:lang w:eastAsia="pt-BR"/>
        </w:rPr>
        <w:t xml:space="preserve"> foi </w:t>
      </w:r>
      <w:r w:rsidR="007E2320" w:rsidRPr="007E2320">
        <w:rPr>
          <w:rFonts w:ascii="Times New Roman" w:hAnsi="Times New Roman"/>
          <w:b/>
          <w:bCs/>
          <w:sz w:val="24"/>
          <w:szCs w:val="24"/>
          <w:lang w:eastAsia="pt-BR"/>
        </w:rPr>
        <w:t>posi</w:t>
      </w:r>
      <w:r w:rsidRPr="007E2320">
        <w:rPr>
          <w:rFonts w:ascii="Times New Roman" w:hAnsi="Times New Roman"/>
          <w:b/>
          <w:bCs/>
          <w:sz w:val="24"/>
          <w:szCs w:val="24"/>
          <w:lang w:eastAsia="pt-BR"/>
        </w:rPr>
        <w:t>tivo</w:t>
      </w:r>
      <w:r w:rsidRPr="00F02ABE">
        <w:rPr>
          <w:rFonts w:ascii="Times New Roman" w:hAnsi="Times New Roman"/>
          <w:sz w:val="24"/>
          <w:szCs w:val="24"/>
          <w:lang w:eastAsia="pt-BR"/>
        </w:rPr>
        <w:t xml:space="preserve"> no montante de </w:t>
      </w:r>
      <w:r w:rsidRPr="00F02ABE">
        <w:rPr>
          <w:rFonts w:ascii="Times New Roman" w:hAnsi="Times New Roman"/>
          <w:b/>
          <w:bCs/>
          <w:sz w:val="24"/>
          <w:szCs w:val="24"/>
          <w:lang w:eastAsia="pt-BR"/>
        </w:rPr>
        <w:t xml:space="preserve">R$ </w:t>
      </w:r>
      <w:r w:rsidR="007E2320" w:rsidRPr="007E2320">
        <w:rPr>
          <w:rFonts w:ascii="Times New Roman" w:hAnsi="Times New Roman"/>
          <w:b/>
          <w:bCs/>
          <w:sz w:val="24"/>
          <w:szCs w:val="24"/>
          <w:lang w:eastAsia="pt-BR"/>
        </w:rPr>
        <w:t>436.042,06</w:t>
      </w:r>
      <w:r>
        <w:rPr>
          <w:rFonts w:ascii="Times New Roman" w:hAnsi="Times New Roman"/>
          <w:b/>
          <w:bCs/>
          <w:sz w:val="24"/>
          <w:szCs w:val="24"/>
          <w:lang w:eastAsia="pt-BR"/>
        </w:rPr>
        <w:t>.</w:t>
      </w:r>
    </w:p>
    <w:p w14:paraId="44E22B43" w14:textId="54FC9D07" w:rsidR="00CB2FF5" w:rsidRDefault="00CB2FF5" w:rsidP="00CB2FF5">
      <w:pPr>
        <w:autoSpaceDE w:val="0"/>
        <w:autoSpaceDN w:val="0"/>
        <w:adjustRightInd w:val="0"/>
        <w:spacing w:after="0" w:line="240" w:lineRule="auto"/>
        <w:ind w:left="1560"/>
        <w:jc w:val="both"/>
        <w:rPr>
          <w:rFonts w:ascii="Times New Roman" w:hAnsi="Times New Roman"/>
          <w:sz w:val="24"/>
          <w:szCs w:val="24"/>
          <w:lang w:eastAsia="pt-BR"/>
        </w:rPr>
      </w:pPr>
      <w:r w:rsidRPr="00F02ABE">
        <w:rPr>
          <w:rFonts w:ascii="Times New Roman" w:hAnsi="Times New Roman"/>
          <w:sz w:val="24"/>
          <w:szCs w:val="24"/>
          <w:lang w:eastAsia="pt-BR"/>
        </w:rPr>
        <w:t xml:space="preserve">O </w:t>
      </w:r>
      <w:r w:rsidR="00F722FE">
        <w:rPr>
          <w:rFonts w:ascii="Times New Roman" w:hAnsi="Times New Roman"/>
          <w:sz w:val="24"/>
          <w:szCs w:val="24"/>
          <w:lang w:eastAsia="pt-BR"/>
        </w:rPr>
        <w:t>R</w:t>
      </w:r>
      <w:r w:rsidRPr="00F02ABE">
        <w:rPr>
          <w:rFonts w:ascii="Times New Roman" w:hAnsi="Times New Roman"/>
          <w:sz w:val="24"/>
          <w:szCs w:val="24"/>
          <w:lang w:eastAsia="pt-BR"/>
        </w:rPr>
        <w:t xml:space="preserve">esultado </w:t>
      </w:r>
      <w:r w:rsidR="00F722FE">
        <w:rPr>
          <w:rFonts w:ascii="Times New Roman" w:hAnsi="Times New Roman"/>
          <w:sz w:val="24"/>
          <w:szCs w:val="24"/>
          <w:lang w:eastAsia="pt-BR"/>
        </w:rPr>
        <w:t>F</w:t>
      </w:r>
      <w:r w:rsidRPr="00F02ABE">
        <w:rPr>
          <w:rFonts w:ascii="Times New Roman" w:hAnsi="Times New Roman"/>
          <w:sz w:val="24"/>
          <w:szCs w:val="24"/>
          <w:lang w:eastAsia="pt-BR"/>
        </w:rPr>
        <w:t xml:space="preserve">inanceiro é obtido pela diferença entre os Ingressos e os Dispêndios, não se computando o saldo de </w:t>
      </w:r>
      <w:r w:rsidRPr="00F02ABE">
        <w:rPr>
          <w:rFonts w:ascii="Times New Roman" w:hAnsi="Times New Roman"/>
          <w:i/>
          <w:iCs/>
          <w:sz w:val="24"/>
          <w:szCs w:val="24"/>
          <w:lang w:eastAsia="pt-BR"/>
        </w:rPr>
        <w:t xml:space="preserve">Caixa e Equivalentes de Caixa </w:t>
      </w:r>
      <w:r w:rsidRPr="00F02ABE">
        <w:rPr>
          <w:rFonts w:ascii="Times New Roman" w:hAnsi="Times New Roman"/>
          <w:sz w:val="24"/>
          <w:szCs w:val="24"/>
          <w:lang w:eastAsia="pt-BR"/>
        </w:rPr>
        <w:t>tanto do lado dos Ingressos quanto do lago dos Dispêndios.</w:t>
      </w:r>
    </w:p>
    <w:p w14:paraId="08288B6C" w14:textId="77777777" w:rsidR="004A3412" w:rsidRDefault="004A3412"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4841E4D3" w14:textId="77777777" w:rsidR="004A3412" w:rsidRDefault="004A3412"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12ED7B04" w14:textId="77777777" w:rsidR="004A3412" w:rsidRDefault="004A3412"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5DA8AA19" w14:textId="77777777" w:rsidR="004A3412" w:rsidRDefault="004A3412"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4C7498DF" w14:textId="77777777" w:rsidR="004A3412" w:rsidRDefault="004A3412"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7B2ADD6A" w14:textId="2A925FDE" w:rsidR="00CB2FF5"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r w:rsidRPr="00F02ABE">
        <w:rPr>
          <w:rFonts w:ascii="Times New Roman" w:hAnsi="Times New Roman"/>
          <w:b/>
          <w:bCs/>
          <w:sz w:val="24"/>
          <w:szCs w:val="24"/>
          <w:lang w:eastAsia="pt-BR"/>
        </w:rPr>
        <w:lastRenderedPageBreak/>
        <w:t>Tabela 27 – Resultado Financeiro do período</w:t>
      </w:r>
    </w:p>
    <w:p w14:paraId="41A3775E" w14:textId="77777777" w:rsidR="00CB2FF5" w:rsidRPr="00F02ABE" w:rsidRDefault="00CB2FF5" w:rsidP="00CB2FF5">
      <w:pPr>
        <w:autoSpaceDE w:val="0"/>
        <w:autoSpaceDN w:val="0"/>
        <w:adjustRightInd w:val="0"/>
        <w:spacing w:after="0" w:line="240" w:lineRule="auto"/>
        <w:ind w:left="1560"/>
        <w:jc w:val="right"/>
        <w:rPr>
          <w:rFonts w:ascii="Times New Roman" w:hAnsi="Times New Roman"/>
          <w:b/>
          <w:bCs/>
          <w:sz w:val="24"/>
          <w:szCs w:val="24"/>
          <w:lang w:eastAsia="pt-BR"/>
        </w:rPr>
      </w:pPr>
      <w:r>
        <w:rPr>
          <w:rFonts w:ascii="Times New Roman" w:hAnsi="Times New Roman"/>
          <w:b/>
          <w:bCs/>
          <w:sz w:val="24"/>
          <w:szCs w:val="24"/>
          <w:lang w:eastAsia="pt-BR"/>
        </w:rPr>
        <w:t>R$ 1,00</w:t>
      </w: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73"/>
        <w:gridCol w:w="3173"/>
        <w:gridCol w:w="2921"/>
      </w:tblGrid>
      <w:tr w:rsidR="00CB2FF5" w:rsidRPr="00F02ABE" w14:paraId="42764736" w14:textId="77777777" w:rsidTr="00242CBD">
        <w:tc>
          <w:tcPr>
            <w:tcW w:w="3357" w:type="dxa"/>
            <w:shd w:val="clear" w:color="auto" w:fill="D0CECE"/>
          </w:tcPr>
          <w:p w14:paraId="37273015"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 INGRESSOS</w:t>
            </w:r>
          </w:p>
        </w:tc>
        <w:tc>
          <w:tcPr>
            <w:tcW w:w="3362" w:type="dxa"/>
            <w:shd w:val="clear" w:color="auto" w:fill="D0CECE"/>
          </w:tcPr>
          <w:p w14:paraId="756C74C9"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4</w:t>
            </w:r>
          </w:p>
        </w:tc>
        <w:tc>
          <w:tcPr>
            <w:tcW w:w="3362" w:type="dxa"/>
            <w:shd w:val="clear" w:color="auto" w:fill="D0CECE"/>
          </w:tcPr>
          <w:p w14:paraId="5CC93715"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3</w:t>
            </w:r>
          </w:p>
        </w:tc>
        <w:tc>
          <w:tcPr>
            <w:tcW w:w="3202" w:type="dxa"/>
            <w:shd w:val="clear" w:color="auto" w:fill="D0CECE"/>
          </w:tcPr>
          <w:p w14:paraId="2E530868"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AH (%)</w:t>
            </w:r>
          </w:p>
        </w:tc>
      </w:tr>
      <w:tr w:rsidR="00CB2FF5" w:rsidRPr="00F02ABE" w14:paraId="4ADA9AB1" w14:textId="77777777" w:rsidTr="00242CBD">
        <w:trPr>
          <w:trHeight w:val="109"/>
        </w:trPr>
        <w:tc>
          <w:tcPr>
            <w:tcW w:w="3357" w:type="dxa"/>
            <w:tcBorders>
              <w:bottom w:val="single" w:sz="4" w:space="0" w:color="auto"/>
            </w:tcBorders>
            <w:shd w:val="clear" w:color="auto" w:fill="auto"/>
          </w:tcPr>
          <w:p w14:paraId="4E96BCC1"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p>
        </w:tc>
        <w:tc>
          <w:tcPr>
            <w:tcW w:w="3362" w:type="dxa"/>
            <w:tcBorders>
              <w:bottom w:val="single" w:sz="4" w:space="0" w:color="auto"/>
            </w:tcBorders>
            <w:shd w:val="clear" w:color="auto" w:fill="auto"/>
          </w:tcPr>
          <w:p w14:paraId="07D425AA" w14:textId="2DDD9CF9" w:rsidR="00CB2FF5" w:rsidRPr="00F02ABE" w:rsidRDefault="00D3467E" w:rsidP="00242CBD">
            <w:pPr>
              <w:spacing w:after="0" w:line="240" w:lineRule="auto"/>
              <w:jc w:val="right"/>
              <w:rPr>
                <w:rFonts w:ascii="Times New Roman" w:hAnsi="Times New Roman"/>
                <w:color w:val="000000"/>
                <w:sz w:val="24"/>
                <w:szCs w:val="24"/>
                <w:lang w:eastAsia="pt-BR"/>
              </w:rPr>
            </w:pPr>
            <w:r w:rsidRPr="00D3467E">
              <w:rPr>
                <w:rFonts w:ascii="Times New Roman" w:hAnsi="Times New Roman"/>
                <w:color w:val="000000"/>
                <w:sz w:val="24"/>
                <w:szCs w:val="24"/>
                <w:lang w:eastAsia="pt-BR"/>
              </w:rPr>
              <w:t>815.742.472,67</w:t>
            </w:r>
          </w:p>
        </w:tc>
        <w:tc>
          <w:tcPr>
            <w:tcW w:w="3362" w:type="dxa"/>
            <w:tcBorders>
              <w:bottom w:val="single" w:sz="4" w:space="0" w:color="auto"/>
            </w:tcBorders>
            <w:shd w:val="clear" w:color="auto" w:fill="auto"/>
          </w:tcPr>
          <w:p w14:paraId="70B58D4C" w14:textId="0C01C0C9" w:rsidR="00CB2FF5" w:rsidRPr="00F02ABE" w:rsidRDefault="00D3467E" w:rsidP="00242CBD">
            <w:pPr>
              <w:spacing w:after="0" w:line="240" w:lineRule="auto"/>
              <w:jc w:val="right"/>
              <w:rPr>
                <w:rFonts w:ascii="Times New Roman" w:hAnsi="Times New Roman"/>
                <w:color w:val="000000"/>
                <w:sz w:val="24"/>
                <w:szCs w:val="24"/>
                <w:lang w:eastAsia="pt-BR"/>
              </w:rPr>
            </w:pPr>
            <w:r w:rsidRPr="00D3467E">
              <w:rPr>
                <w:rFonts w:ascii="Times New Roman" w:hAnsi="Times New Roman"/>
                <w:color w:val="000000"/>
                <w:sz w:val="24"/>
                <w:szCs w:val="24"/>
                <w:lang w:eastAsia="pt-BR"/>
              </w:rPr>
              <w:t>736.041.878,74</w:t>
            </w:r>
          </w:p>
        </w:tc>
        <w:tc>
          <w:tcPr>
            <w:tcW w:w="3202" w:type="dxa"/>
            <w:tcBorders>
              <w:bottom w:val="single" w:sz="4" w:space="0" w:color="auto"/>
            </w:tcBorders>
            <w:shd w:val="clear" w:color="auto" w:fill="auto"/>
          </w:tcPr>
          <w:p w14:paraId="7FFA92B1" w14:textId="14D92F07" w:rsidR="00CB2FF5" w:rsidRPr="00F02ABE" w:rsidRDefault="00CB2FF5" w:rsidP="00242CBD">
            <w:pPr>
              <w:tabs>
                <w:tab w:val="left" w:pos="1170"/>
                <w:tab w:val="center" w:pos="1455"/>
              </w:tabs>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r w:rsidR="00DB6668">
              <w:rPr>
                <w:rFonts w:ascii="Times New Roman" w:hAnsi="Times New Roman"/>
                <w:color w:val="000000"/>
                <w:sz w:val="24"/>
                <w:szCs w:val="24"/>
                <w:lang w:eastAsia="pt-BR"/>
              </w:rPr>
              <w:t>0,83</w:t>
            </w:r>
          </w:p>
        </w:tc>
      </w:tr>
      <w:tr w:rsidR="00CB2FF5" w:rsidRPr="00F02ABE" w14:paraId="2174DB14" w14:textId="77777777" w:rsidTr="00242CBD">
        <w:tc>
          <w:tcPr>
            <w:tcW w:w="3357" w:type="dxa"/>
            <w:shd w:val="clear" w:color="auto" w:fill="D0CECE"/>
          </w:tcPr>
          <w:p w14:paraId="3F6D6506"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 DISPÊNDIOS</w:t>
            </w:r>
          </w:p>
        </w:tc>
        <w:tc>
          <w:tcPr>
            <w:tcW w:w="3362" w:type="dxa"/>
            <w:shd w:val="clear" w:color="auto" w:fill="D0CECE"/>
          </w:tcPr>
          <w:p w14:paraId="62C96028" w14:textId="418135DF" w:rsidR="00CB2FF5" w:rsidRPr="00F02ABE" w:rsidRDefault="00CB2FF5" w:rsidP="00242CBD">
            <w:pPr>
              <w:autoSpaceDE w:val="0"/>
              <w:autoSpaceDN w:val="0"/>
              <w:adjustRightInd w:val="0"/>
              <w:spacing w:after="0" w:line="240" w:lineRule="auto"/>
              <w:jc w:val="right"/>
              <w:rPr>
                <w:rFonts w:ascii="Times New Roman" w:hAnsi="Times New Roman"/>
                <w:color w:val="000000"/>
                <w:sz w:val="24"/>
                <w:szCs w:val="24"/>
                <w:lang w:eastAsia="pt-BR"/>
              </w:rPr>
            </w:pPr>
          </w:p>
        </w:tc>
        <w:tc>
          <w:tcPr>
            <w:tcW w:w="3362" w:type="dxa"/>
            <w:shd w:val="clear" w:color="auto" w:fill="D0CECE"/>
          </w:tcPr>
          <w:p w14:paraId="627ADB96" w14:textId="77777777" w:rsidR="00CB2FF5" w:rsidRPr="00F02ABE" w:rsidRDefault="00CB2FF5" w:rsidP="00242CBD">
            <w:pPr>
              <w:autoSpaceDE w:val="0"/>
              <w:autoSpaceDN w:val="0"/>
              <w:adjustRightInd w:val="0"/>
              <w:spacing w:after="0" w:line="240" w:lineRule="auto"/>
              <w:jc w:val="right"/>
              <w:rPr>
                <w:rFonts w:ascii="Times New Roman" w:hAnsi="Times New Roman"/>
                <w:color w:val="000000"/>
                <w:sz w:val="24"/>
                <w:szCs w:val="24"/>
                <w:lang w:eastAsia="pt-BR"/>
              </w:rPr>
            </w:pPr>
          </w:p>
        </w:tc>
        <w:tc>
          <w:tcPr>
            <w:tcW w:w="3202" w:type="dxa"/>
            <w:shd w:val="clear" w:color="auto" w:fill="D0CECE"/>
          </w:tcPr>
          <w:p w14:paraId="1E46E967"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p>
        </w:tc>
      </w:tr>
      <w:tr w:rsidR="00CB2FF5" w:rsidRPr="00F02ABE" w14:paraId="022E1810" w14:textId="77777777" w:rsidTr="00242CBD">
        <w:tc>
          <w:tcPr>
            <w:tcW w:w="3357" w:type="dxa"/>
            <w:tcBorders>
              <w:bottom w:val="single" w:sz="4" w:space="0" w:color="auto"/>
            </w:tcBorders>
            <w:shd w:val="clear" w:color="auto" w:fill="auto"/>
          </w:tcPr>
          <w:p w14:paraId="1B054CC2"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p>
        </w:tc>
        <w:tc>
          <w:tcPr>
            <w:tcW w:w="3362" w:type="dxa"/>
            <w:tcBorders>
              <w:bottom w:val="single" w:sz="4" w:space="0" w:color="auto"/>
            </w:tcBorders>
            <w:shd w:val="clear" w:color="auto" w:fill="auto"/>
          </w:tcPr>
          <w:p w14:paraId="355E74AF" w14:textId="0BC232D5" w:rsidR="00CB2FF5" w:rsidRPr="00F02ABE" w:rsidRDefault="00D3467E" w:rsidP="00242CBD">
            <w:pPr>
              <w:spacing w:after="0" w:line="240" w:lineRule="auto"/>
              <w:jc w:val="right"/>
              <w:rPr>
                <w:rFonts w:ascii="Times New Roman" w:hAnsi="Times New Roman"/>
                <w:color w:val="000000"/>
                <w:sz w:val="24"/>
                <w:szCs w:val="24"/>
                <w:lang w:eastAsia="pt-BR"/>
              </w:rPr>
            </w:pPr>
            <w:r w:rsidRPr="00D3467E">
              <w:rPr>
                <w:rFonts w:ascii="Times New Roman" w:hAnsi="Times New Roman"/>
                <w:color w:val="000000"/>
                <w:sz w:val="24"/>
                <w:szCs w:val="24"/>
                <w:lang w:eastAsia="pt-BR"/>
              </w:rPr>
              <w:t>815.306.430,61</w:t>
            </w:r>
          </w:p>
        </w:tc>
        <w:tc>
          <w:tcPr>
            <w:tcW w:w="3362" w:type="dxa"/>
            <w:tcBorders>
              <w:bottom w:val="single" w:sz="4" w:space="0" w:color="auto"/>
            </w:tcBorders>
            <w:shd w:val="clear" w:color="auto" w:fill="auto"/>
          </w:tcPr>
          <w:p w14:paraId="03AF3EFC" w14:textId="3847476B" w:rsidR="00CB2FF5" w:rsidRPr="00F02ABE" w:rsidRDefault="00D3467E" w:rsidP="00242CBD">
            <w:pPr>
              <w:spacing w:after="0" w:line="240" w:lineRule="auto"/>
              <w:jc w:val="right"/>
              <w:rPr>
                <w:rFonts w:ascii="Times New Roman" w:hAnsi="Times New Roman"/>
                <w:color w:val="000000"/>
                <w:sz w:val="24"/>
                <w:szCs w:val="24"/>
                <w:lang w:eastAsia="pt-BR"/>
              </w:rPr>
            </w:pPr>
            <w:r w:rsidRPr="00D3467E">
              <w:rPr>
                <w:rFonts w:ascii="Times New Roman" w:hAnsi="Times New Roman"/>
                <w:color w:val="000000"/>
                <w:sz w:val="24"/>
                <w:szCs w:val="24"/>
                <w:lang w:eastAsia="pt-BR"/>
              </w:rPr>
              <w:t>730.114.483,09</w:t>
            </w:r>
          </w:p>
        </w:tc>
        <w:tc>
          <w:tcPr>
            <w:tcW w:w="3202" w:type="dxa"/>
            <w:tcBorders>
              <w:bottom w:val="single" w:sz="4" w:space="0" w:color="auto"/>
            </w:tcBorders>
            <w:shd w:val="clear" w:color="auto" w:fill="auto"/>
          </w:tcPr>
          <w:p w14:paraId="7510021D" w14:textId="318183F0" w:rsidR="00CB2FF5" w:rsidRPr="00F02ABE" w:rsidRDefault="00F722FE"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w:t>
            </w:r>
            <w:r w:rsidR="00DB6668">
              <w:rPr>
                <w:rFonts w:ascii="Times New Roman" w:hAnsi="Times New Roman"/>
                <w:color w:val="000000"/>
                <w:sz w:val="24"/>
                <w:szCs w:val="24"/>
                <w:lang w:eastAsia="pt-BR"/>
              </w:rPr>
              <w:t>1,69</w:t>
            </w:r>
          </w:p>
        </w:tc>
      </w:tr>
      <w:tr w:rsidR="00CB2FF5" w:rsidRPr="00F02ABE" w14:paraId="514B5395" w14:textId="77777777" w:rsidTr="00242CBD">
        <w:tc>
          <w:tcPr>
            <w:tcW w:w="3357" w:type="dxa"/>
            <w:shd w:val="clear" w:color="auto" w:fill="D0CECE"/>
          </w:tcPr>
          <w:p w14:paraId="3D5DC54D"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 Resultado Financeiro</w:t>
            </w:r>
          </w:p>
        </w:tc>
        <w:tc>
          <w:tcPr>
            <w:tcW w:w="3362" w:type="dxa"/>
            <w:shd w:val="clear" w:color="auto" w:fill="D0CECE"/>
          </w:tcPr>
          <w:p w14:paraId="5166EA40" w14:textId="4961FE3D" w:rsidR="00CB2FF5" w:rsidRPr="00F02ABE" w:rsidRDefault="00D3467E" w:rsidP="00242CBD">
            <w:pPr>
              <w:autoSpaceDE w:val="0"/>
              <w:autoSpaceDN w:val="0"/>
              <w:adjustRightInd w:val="0"/>
              <w:spacing w:after="0" w:line="240" w:lineRule="auto"/>
              <w:jc w:val="right"/>
              <w:rPr>
                <w:rFonts w:ascii="Times New Roman" w:hAnsi="Times New Roman"/>
                <w:b/>
                <w:color w:val="000000"/>
                <w:sz w:val="24"/>
                <w:szCs w:val="24"/>
                <w:lang w:eastAsia="pt-BR"/>
              </w:rPr>
            </w:pPr>
            <w:r w:rsidRPr="00D3467E">
              <w:rPr>
                <w:rFonts w:ascii="Times New Roman" w:hAnsi="Times New Roman"/>
                <w:b/>
                <w:color w:val="000000"/>
                <w:sz w:val="24"/>
                <w:szCs w:val="24"/>
                <w:lang w:eastAsia="pt-BR"/>
              </w:rPr>
              <w:t>436.042,06</w:t>
            </w:r>
          </w:p>
        </w:tc>
        <w:tc>
          <w:tcPr>
            <w:tcW w:w="3362" w:type="dxa"/>
            <w:shd w:val="clear" w:color="auto" w:fill="D0CECE"/>
          </w:tcPr>
          <w:p w14:paraId="74356A78" w14:textId="036398AA" w:rsidR="00CB2FF5" w:rsidRPr="00F02ABE" w:rsidRDefault="00D3467E" w:rsidP="00242CBD">
            <w:pPr>
              <w:autoSpaceDE w:val="0"/>
              <w:autoSpaceDN w:val="0"/>
              <w:adjustRightInd w:val="0"/>
              <w:spacing w:after="0" w:line="240" w:lineRule="auto"/>
              <w:jc w:val="right"/>
              <w:rPr>
                <w:rFonts w:ascii="Times New Roman" w:hAnsi="Times New Roman"/>
                <w:b/>
                <w:color w:val="000000"/>
                <w:sz w:val="24"/>
                <w:szCs w:val="24"/>
                <w:lang w:eastAsia="pt-BR"/>
              </w:rPr>
            </w:pPr>
            <w:r w:rsidRPr="00D3467E">
              <w:rPr>
                <w:rFonts w:ascii="Times New Roman" w:hAnsi="Times New Roman"/>
                <w:b/>
                <w:color w:val="000000"/>
                <w:sz w:val="24"/>
                <w:szCs w:val="24"/>
                <w:lang w:eastAsia="pt-BR"/>
              </w:rPr>
              <w:t>5.927.395,65</w:t>
            </w:r>
          </w:p>
        </w:tc>
        <w:tc>
          <w:tcPr>
            <w:tcW w:w="3202" w:type="dxa"/>
            <w:shd w:val="clear" w:color="auto" w:fill="D0CECE"/>
          </w:tcPr>
          <w:p w14:paraId="404279E6"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p>
        </w:tc>
      </w:tr>
    </w:tbl>
    <w:p w14:paraId="51D24B9A" w14:textId="77777777" w:rsidR="00CB2FF5" w:rsidRPr="00F02ABE"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r w:rsidRPr="007171E6">
        <w:rPr>
          <w:rFonts w:ascii="Times New Roman" w:hAnsi="Times New Roman"/>
          <w:color w:val="000000"/>
          <w:sz w:val="20"/>
          <w:szCs w:val="20"/>
          <w:lang w:eastAsia="pt-BR"/>
        </w:rPr>
        <w:t>Fonte: SIAFI web, 2024 e 2023</w:t>
      </w:r>
      <w:r w:rsidRPr="00F02ABE">
        <w:rPr>
          <w:rFonts w:ascii="Times New Roman" w:hAnsi="Times New Roman"/>
          <w:color w:val="000000"/>
          <w:sz w:val="24"/>
          <w:szCs w:val="24"/>
          <w:lang w:eastAsia="pt-BR"/>
        </w:rPr>
        <w:t>.</w:t>
      </w:r>
    </w:p>
    <w:p w14:paraId="0BAB2FEF" w14:textId="77777777" w:rsidR="00CB2FF5"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p>
    <w:p w14:paraId="309B4635" w14:textId="77777777" w:rsidR="00CC2B22" w:rsidRPr="00F02ABE" w:rsidRDefault="00CC2B22" w:rsidP="00CB2FF5">
      <w:pPr>
        <w:autoSpaceDE w:val="0"/>
        <w:autoSpaceDN w:val="0"/>
        <w:adjustRightInd w:val="0"/>
        <w:spacing w:after="0" w:line="240" w:lineRule="auto"/>
        <w:ind w:left="1560"/>
        <w:jc w:val="both"/>
        <w:rPr>
          <w:rFonts w:ascii="Times New Roman" w:hAnsi="Times New Roman"/>
          <w:color w:val="000000"/>
          <w:sz w:val="24"/>
          <w:szCs w:val="24"/>
          <w:lang w:eastAsia="pt-BR"/>
        </w:rPr>
      </w:pPr>
    </w:p>
    <w:p w14:paraId="415AA743" w14:textId="77777777" w:rsidR="00CB2FF5" w:rsidRPr="00F02ABE"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r w:rsidRPr="00F02ABE">
        <w:rPr>
          <w:rFonts w:ascii="Times New Roman" w:hAnsi="Times New Roman"/>
          <w:b/>
          <w:color w:val="000000"/>
          <w:sz w:val="24"/>
          <w:szCs w:val="24"/>
          <w:lang w:eastAsia="pt-BR"/>
        </w:rPr>
        <w:t xml:space="preserve">10 - </w:t>
      </w:r>
      <w:r w:rsidRPr="00F02ABE">
        <w:rPr>
          <w:rFonts w:ascii="Times New Roman" w:hAnsi="Times New Roman"/>
          <w:b/>
          <w:bCs/>
          <w:sz w:val="24"/>
          <w:szCs w:val="24"/>
          <w:lang w:eastAsia="pt-BR"/>
        </w:rPr>
        <w:t>NOTAS EXPLICATIVAS ÀS DEMOSNTRAÇÕES DOS FLUXOS DE CAIXA – DFC</w:t>
      </w:r>
    </w:p>
    <w:p w14:paraId="4DCF7B19" w14:textId="77777777" w:rsidR="00CB2FF5" w:rsidRPr="00F02ABE"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2BB24C0B" w14:textId="6E931AD1" w:rsidR="00CB2FF5" w:rsidRPr="00F02ABE"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O Fluxo de Caixa das Atividades Operacionais no </w:t>
      </w:r>
      <w:r w:rsidR="00844EF3">
        <w:rPr>
          <w:rFonts w:ascii="Times New Roman" w:hAnsi="Times New Roman"/>
          <w:color w:val="000000"/>
          <w:sz w:val="24"/>
          <w:szCs w:val="24"/>
          <w:lang w:eastAsia="pt-BR"/>
        </w:rPr>
        <w:t>quarto</w:t>
      </w:r>
      <w:r w:rsidRPr="00F02ABE">
        <w:rPr>
          <w:rFonts w:ascii="Times New Roman" w:hAnsi="Times New Roman"/>
          <w:color w:val="000000"/>
          <w:sz w:val="24"/>
          <w:szCs w:val="24"/>
          <w:lang w:eastAsia="pt-BR"/>
        </w:rPr>
        <w:t xml:space="preserve"> trimestre de 202</w:t>
      </w:r>
      <w:r>
        <w:rPr>
          <w:rFonts w:ascii="Times New Roman" w:hAnsi="Times New Roman"/>
          <w:color w:val="000000"/>
          <w:sz w:val="24"/>
          <w:szCs w:val="24"/>
          <w:lang w:eastAsia="pt-BR"/>
        </w:rPr>
        <w:t>4</w:t>
      </w:r>
      <w:r w:rsidRPr="00F02ABE">
        <w:rPr>
          <w:rFonts w:ascii="Times New Roman" w:hAnsi="Times New Roman"/>
          <w:color w:val="000000"/>
          <w:sz w:val="24"/>
          <w:szCs w:val="24"/>
          <w:lang w:eastAsia="pt-BR"/>
        </w:rPr>
        <w:t xml:space="preserve"> apresentou um resultado </w:t>
      </w:r>
      <w:r w:rsidR="00844EF3">
        <w:rPr>
          <w:rFonts w:ascii="Times New Roman" w:hAnsi="Times New Roman"/>
          <w:color w:val="000000"/>
          <w:sz w:val="24"/>
          <w:szCs w:val="24"/>
          <w:lang w:eastAsia="pt-BR"/>
        </w:rPr>
        <w:t>positivo</w:t>
      </w:r>
      <w:r w:rsidRPr="00F02ABE">
        <w:rPr>
          <w:rFonts w:ascii="Times New Roman" w:hAnsi="Times New Roman"/>
          <w:color w:val="000000"/>
          <w:sz w:val="24"/>
          <w:szCs w:val="24"/>
          <w:lang w:eastAsia="pt-BR"/>
        </w:rPr>
        <w:t xml:space="preserve"> no valor de </w:t>
      </w:r>
      <w:r w:rsidRPr="00F02ABE">
        <w:rPr>
          <w:rFonts w:ascii="Times New Roman" w:hAnsi="Times New Roman"/>
          <w:b/>
          <w:bCs/>
          <w:color w:val="000000"/>
          <w:sz w:val="24"/>
          <w:szCs w:val="24"/>
          <w:lang w:eastAsia="pt-BR"/>
        </w:rPr>
        <w:t xml:space="preserve">R$ </w:t>
      </w:r>
      <w:r w:rsidR="00FD694E">
        <w:rPr>
          <w:rFonts w:ascii="Times New Roman" w:hAnsi="Times New Roman"/>
          <w:b/>
          <w:bCs/>
          <w:color w:val="000000"/>
          <w:sz w:val="24"/>
          <w:szCs w:val="24"/>
          <w:lang w:eastAsia="pt-BR"/>
        </w:rPr>
        <w:t>6.909.181,76</w:t>
      </w:r>
      <w:r>
        <w:rPr>
          <w:rFonts w:ascii="Times New Roman" w:hAnsi="Times New Roman"/>
          <w:b/>
          <w:bCs/>
          <w:color w:val="000000"/>
          <w:sz w:val="24"/>
          <w:szCs w:val="24"/>
          <w:lang w:eastAsia="pt-BR"/>
        </w:rPr>
        <w:t>.</w:t>
      </w:r>
    </w:p>
    <w:p w14:paraId="721C134A" w14:textId="77777777" w:rsidR="00CB2FF5" w:rsidRPr="00F02ABE"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3A1D0128" w14:textId="77777777" w:rsidR="00CB2FF5"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r w:rsidRPr="00F02ABE">
        <w:rPr>
          <w:rFonts w:ascii="Times New Roman" w:hAnsi="Times New Roman"/>
          <w:b/>
          <w:bCs/>
          <w:sz w:val="24"/>
          <w:szCs w:val="24"/>
          <w:lang w:eastAsia="pt-BR"/>
        </w:rPr>
        <w:t>Tabela 28 – Resultado dos Fluxos de Caixa das Atividades Operacionais</w:t>
      </w:r>
    </w:p>
    <w:p w14:paraId="05C23E5E" w14:textId="77777777" w:rsidR="00CB2FF5" w:rsidRPr="00F02ABE" w:rsidRDefault="00CB2FF5" w:rsidP="00CB2FF5">
      <w:pPr>
        <w:autoSpaceDE w:val="0"/>
        <w:autoSpaceDN w:val="0"/>
        <w:adjustRightInd w:val="0"/>
        <w:spacing w:after="0" w:line="240" w:lineRule="auto"/>
        <w:ind w:left="1560" w:right="395"/>
        <w:jc w:val="right"/>
        <w:rPr>
          <w:rFonts w:ascii="Times New Roman" w:hAnsi="Times New Roman"/>
          <w:color w:val="000000"/>
          <w:sz w:val="24"/>
          <w:szCs w:val="24"/>
          <w:lang w:eastAsia="pt-BR"/>
        </w:rPr>
      </w:pPr>
      <w:r>
        <w:rPr>
          <w:rFonts w:ascii="Times New Roman" w:hAnsi="Times New Roman"/>
          <w:color w:val="000000"/>
          <w:sz w:val="24"/>
          <w:szCs w:val="24"/>
          <w:lang w:eastAsia="pt-BR"/>
        </w:rPr>
        <w:t>R$ 1,00</w:t>
      </w:r>
    </w:p>
    <w:tbl>
      <w:tblPr>
        <w:tblW w:w="12043"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984"/>
        <w:gridCol w:w="1985"/>
        <w:gridCol w:w="1729"/>
      </w:tblGrid>
      <w:tr w:rsidR="00CB2FF5" w:rsidRPr="00F02ABE" w14:paraId="26DA7EBB" w14:textId="77777777" w:rsidTr="00242CBD">
        <w:tc>
          <w:tcPr>
            <w:tcW w:w="6345" w:type="dxa"/>
            <w:shd w:val="clear" w:color="auto" w:fill="auto"/>
          </w:tcPr>
          <w:p w14:paraId="07DF3FAB"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FLUXO DE CAIXA DAS ATIVIDADES OPERACIONAIS</w:t>
            </w:r>
          </w:p>
        </w:tc>
        <w:tc>
          <w:tcPr>
            <w:tcW w:w="1984" w:type="dxa"/>
            <w:shd w:val="clear" w:color="auto" w:fill="auto"/>
          </w:tcPr>
          <w:p w14:paraId="1A9A3A59"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4</w:t>
            </w:r>
          </w:p>
        </w:tc>
        <w:tc>
          <w:tcPr>
            <w:tcW w:w="1985" w:type="dxa"/>
            <w:shd w:val="clear" w:color="auto" w:fill="auto"/>
          </w:tcPr>
          <w:p w14:paraId="29BD16CA"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3</w:t>
            </w:r>
          </w:p>
        </w:tc>
        <w:tc>
          <w:tcPr>
            <w:tcW w:w="1729" w:type="dxa"/>
            <w:shd w:val="clear" w:color="auto" w:fill="auto"/>
          </w:tcPr>
          <w:p w14:paraId="56200E89"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AH (%)</w:t>
            </w:r>
          </w:p>
        </w:tc>
      </w:tr>
      <w:tr w:rsidR="00CB2FF5" w:rsidRPr="00F02ABE" w14:paraId="0B6E148B" w14:textId="77777777" w:rsidTr="00242CBD">
        <w:tc>
          <w:tcPr>
            <w:tcW w:w="6345" w:type="dxa"/>
            <w:shd w:val="clear" w:color="auto" w:fill="auto"/>
          </w:tcPr>
          <w:p w14:paraId="273C810F"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INGRESSOS</w:t>
            </w:r>
          </w:p>
        </w:tc>
        <w:tc>
          <w:tcPr>
            <w:tcW w:w="1984" w:type="dxa"/>
            <w:shd w:val="clear" w:color="auto" w:fill="auto"/>
            <w:vAlign w:val="center"/>
          </w:tcPr>
          <w:p w14:paraId="572FEDF8" w14:textId="0FF0B69D" w:rsidR="00CB2FF5" w:rsidRPr="00F02ABE" w:rsidRDefault="00315639"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716.796.446,00</w:t>
            </w:r>
          </w:p>
        </w:tc>
        <w:tc>
          <w:tcPr>
            <w:tcW w:w="1985" w:type="dxa"/>
            <w:shd w:val="clear" w:color="auto" w:fill="auto"/>
            <w:vAlign w:val="center"/>
          </w:tcPr>
          <w:p w14:paraId="64C934E8" w14:textId="57B19D57" w:rsidR="00CB2FF5" w:rsidRPr="00F02ABE" w:rsidRDefault="00315639"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645.483</w:t>
            </w:r>
            <w:r w:rsidR="007B2113">
              <w:rPr>
                <w:rFonts w:ascii="Times New Roman" w:hAnsi="Times New Roman"/>
                <w:color w:val="000000"/>
                <w:sz w:val="24"/>
                <w:szCs w:val="24"/>
                <w:lang w:eastAsia="pt-BR"/>
              </w:rPr>
              <w:t>.</w:t>
            </w:r>
            <w:r>
              <w:rPr>
                <w:rFonts w:ascii="Times New Roman" w:hAnsi="Times New Roman"/>
                <w:color w:val="000000"/>
                <w:sz w:val="24"/>
                <w:szCs w:val="24"/>
                <w:lang w:eastAsia="pt-BR"/>
              </w:rPr>
              <w:t>944,23</w:t>
            </w:r>
          </w:p>
        </w:tc>
        <w:tc>
          <w:tcPr>
            <w:tcW w:w="1729" w:type="dxa"/>
            <w:shd w:val="clear" w:color="auto" w:fill="auto"/>
            <w:vAlign w:val="center"/>
          </w:tcPr>
          <w:p w14:paraId="15FFA51D" w14:textId="3E4AD3F1" w:rsidR="00CB2FF5" w:rsidRPr="00F02ABE" w:rsidRDefault="007B2113"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11,05</w:t>
            </w:r>
          </w:p>
        </w:tc>
      </w:tr>
      <w:tr w:rsidR="00CB2FF5" w:rsidRPr="00F02ABE" w14:paraId="40757568" w14:textId="77777777" w:rsidTr="00242CBD">
        <w:tc>
          <w:tcPr>
            <w:tcW w:w="6345" w:type="dxa"/>
            <w:shd w:val="clear" w:color="auto" w:fill="auto"/>
          </w:tcPr>
          <w:p w14:paraId="1916C528"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DESEMBOLSOS</w:t>
            </w:r>
          </w:p>
        </w:tc>
        <w:tc>
          <w:tcPr>
            <w:tcW w:w="1984" w:type="dxa"/>
            <w:shd w:val="clear" w:color="auto" w:fill="auto"/>
          </w:tcPr>
          <w:p w14:paraId="19964CE6" w14:textId="45917445" w:rsidR="00CB2FF5" w:rsidRPr="00F02ABE" w:rsidRDefault="00BD6B83"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(709.887.264,24)</w:t>
            </w:r>
          </w:p>
        </w:tc>
        <w:tc>
          <w:tcPr>
            <w:tcW w:w="1985" w:type="dxa"/>
            <w:shd w:val="clear" w:color="auto" w:fill="auto"/>
          </w:tcPr>
          <w:p w14:paraId="3610E454" w14:textId="05E22A2E" w:rsidR="00CB2FF5" w:rsidRPr="00F02ABE" w:rsidRDefault="00BD6B83"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(633.295.917,01)</w:t>
            </w:r>
          </w:p>
        </w:tc>
        <w:tc>
          <w:tcPr>
            <w:tcW w:w="1729" w:type="dxa"/>
            <w:shd w:val="clear" w:color="auto" w:fill="auto"/>
            <w:vAlign w:val="center"/>
          </w:tcPr>
          <w:p w14:paraId="41143D03" w14:textId="1B700225" w:rsidR="00CB2FF5" w:rsidRPr="00F02ABE" w:rsidRDefault="00932AD1"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12,09</w:t>
            </w:r>
          </w:p>
        </w:tc>
      </w:tr>
      <w:tr w:rsidR="00CB2FF5" w:rsidRPr="00F02ABE" w14:paraId="4439E9C7" w14:textId="77777777" w:rsidTr="00242CBD">
        <w:tc>
          <w:tcPr>
            <w:tcW w:w="6345" w:type="dxa"/>
            <w:shd w:val="clear" w:color="auto" w:fill="auto"/>
          </w:tcPr>
          <w:p w14:paraId="7525DE09"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TOTAL</w:t>
            </w:r>
          </w:p>
        </w:tc>
        <w:tc>
          <w:tcPr>
            <w:tcW w:w="1984" w:type="dxa"/>
            <w:shd w:val="clear" w:color="auto" w:fill="auto"/>
          </w:tcPr>
          <w:p w14:paraId="48C3F582" w14:textId="66DF6F36" w:rsidR="00CB2FF5" w:rsidRPr="00F02ABE" w:rsidRDefault="006C1220" w:rsidP="00242CBD">
            <w:pPr>
              <w:spacing w:after="0" w:line="240" w:lineRule="auto"/>
              <w:jc w:val="right"/>
              <w:rPr>
                <w:rFonts w:ascii="Times New Roman" w:hAnsi="Times New Roman"/>
                <w:b/>
                <w:color w:val="000000"/>
                <w:sz w:val="24"/>
                <w:szCs w:val="24"/>
                <w:lang w:eastAsia="pt-BR"/>
              </w:rPr>
            </w:pPr>
            <w:r>
              <w:rPr>
                <w:rFonts w:ascii="Times New Roman" w:hAnsi="Times New Roman"/>
                <w:b/>
                <w:color w:val="000000"/>
                <w:sz w:val="24"/>
                <w:szCs w:val="24"/>
                <w:lang w:eastAsia="pt-BR"/>
              </w:rPr>
              <w:t>6.909.</w:t>
            </w:r>
            <w:r w:rsidR="00844EF3">
              <w:rPr>
                <w:rFonts w:ascii="Times New Roman" w:hAnsi="Times New Roman"/>
                <w:b/>
                <w:color w:val="000000"/>
                <w:sz w:val="24"/>
                <w:szCs w:val="24"/>
                <w:lang w:eastAsia="pt-BR"/>
              </w:rPr>
              <w:t>181,76</w:t>
            </w:r>
          </w:p>
        </w:tc>
        <w:tc>
          <w:tcPr>
            <w:tcW w:w="1985" w:type="dxa"/>
            <w:shd w:val="clear" w:color="auto" w:fill="auto"/>
          </w:tcPr>
          <w:p w14:paraId="20AE47FB" w14:textId="115996AE" w:rsidR="00CB2FF5" w:rsidRPr="00F02ABE" w:rsidRDefault="00844EF3" w:rsidP="00242CBD">
            <w:pPr>
              <w:spacing w:after="0" w:line="240" w:lineRule="auto"/>
              <w:jc w:val="right"/>
              <w:rPr>
                <w:rFonts w:ascii="Times New Roman" w:hAnsi="Times New Roman"/>
                <w:b/>
                <w:color w:val="000000"/>
                <w:sz w:val="24"/>
                <w:szCs w:val="24"/>
                <w:lang w:eastAsia="pt-BR"/>
              </w:rPr>
            </w:pPr>
            <w:r>
              <w:rPr>
                <w:rFonts w:ascii="Times New Roman" w:hAnsi="Times New Roman"/>
                <w:b/>
                <w:color w:val="000000"/>
                <w:sz w:val="24"/>
                <w:szCs w:val="24"/>
                <w:lang w:eastAsia="pt-BR"/>
              </w:rPr>
              <w:t>12.188.027,22</w:t>
            </w:r>
          </w:p>
        </w:tc>
        <w:tc>
          <w:tcPr>
            <w:tcW w:w="1729" w:type="dxa"/>
            <w:shd w:val="clear" w:color="auto" w:fill="auto"/>
          </w:tcPr>
          <w:p w14:paraId="590C3429" w14:textId="440DCA50" w:rsidR="00CB2FF5" w:rsidRPr="00F02ABE" w:rsidRDefault="00CA10E0" w:rsidP="00242CBD">
            <w:pPr>
              <w:autoSpaceDE w:val="0"/>
              <w:autoSpaceDN w:val="0"/>
              <w:adjustRightInd w:val="0"/>
              <w:spacing w:after="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-43,31</w:t>
            </w:r>
          </w:p>
        </w:tc>
      </w:tr>
    </w:tbl>
    <w:p w14:paraId="7CCA4BCF" w14:textId="77777777" w:rsidR="00CB2FF5" w:rsidRPr="00973A3F" w:rsidRDefault="00CB2FF5" w:rsidP="00CB2FF5">
      <w:pPr>
        <w:autoSpaceDE w:val="0"/>
        <w:autoSpaceDN w:val="0"/>
        <w:adjustRightInd w:val="0"/>
        <w:spacing w:after="0" w:line="240" w:lineRule="auto"/>
        <w:ind w:left="1701"/>
        <w:jc w:val="both"/>
        <w:rPr>
          <w:rFonts w:ascii="Times New Roman" w:hAnsi="Times New Roman"/>
          <w:sz w:val="20"/>
          <w:szCs w:val="20"/>
        </w:rPr>
      </w:pPr>
      <w:r w:rsidRPr="00973A3F">
        <w:rPr>
          <w:rFonts w:ascii="Times New Roman" w:hAnsi="Times New Roman"/>
          <w:sz w:val="20"/>
          <w:szCs w:val="20"/>
        </w:rPr>
        <w:t>Fonte: SIAFI, 2024 e 2023.</w:t>
      </w:r>
    </w:p>
    <w:p w14:paraId="77CB4034" w14:textId="77777777" w:rsidR="00CB2FF5" w:rsidRPr="00F02ABE" w:rsidRDefault="00CB2FF5" w:rsidP="00CB2FF5">
      <w:pPr>
        <w:autoSpaceDE w:val="0"/>
        <w:autoSpaceDN w:val="0"/>
        <w:adjustRightInd w:val="0"/>
        <w:spacing w:after="0" w:line="240" w:lineRule="auto"/>
        <w:ind w:left="1701"/>
        <w:jc w:val="both"/>
        <w:rPr>
          <w:rFonts w:ascii="Times New Roman" w:hAnsi="Times New Roman"/>
          <w:b/>
          <w:sz w:val="24"/>
          <w:szCs w:val="24"/>
        </w:rPr>
      </w:pPr>
    </w:p>
    <w:p w14:paraId="4B6AFC68" w14:textId="08AF2FBF"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rPr>
      </w:pPr>
      <w:r w:rsidRPr="00F02ABE">
        <w:rPr>
          <w:rFonts w:ascii="Times New Roman" w:hAnsi="Times New Roman"/>
          <w:sz w:val="24"/>
          <w:szCs w:val="24"/>
        </w:rPr>
        <w:t>Os Ingressos possuem um valor significativo</w:t>
      </w:r>
      <w:r>
        <w:rPr>
          <w:rFonts w:ascii="Times New Roman" w:hAnsi="Times New Roman"/>
          <w:sz w:val="24"/>
          <w:szCs w:val="24"/>
        </w:rPr>
        <w:t xml:space="preserve"> de</w:t>
      </w:r>
      <w:r w:rsidRPr="00F02ABE">
        <w:rPr>
          <w:rFonts w:ascii="Times New Roman" w:hAnsi="Times New Roman"/>
          <w:sz w:val="24"/>
          <w:szCs w:val="24"/>
        </w:rPr>
        <w:t xml:space="preserve"> </w:t>
      </w:r>
      <w:r w:rsidRPr="0097149D">
        <w:rPr>
          <w:rFonts w:ascii="Times New Roman" w:hAnsi="Times New Roman"/>
          <w:b/>
          <w:bCs/>
          <w:sz w:val="24"/>
          <w:szCs w:val="24"/>
        </w:rPr>
        <w:t>R$</w:t>
      </w:r>
      <w:r w:rsidRPr="00F02ABE">
        <w:rPr>
          <w:rFonts w:ascii="Times New Roman" w:hAnsi="Times New Roman"/>
          <w:sz w:val="24"/>
          <w:szCs w:val="24"/>
        </w:rPr>
        <w:t xml:space="preserve"> </w:t>
      </w:r>
      <w:r w:rsidR="007D1E7A" w:rsidRPr="00FF5C8F">
        <w:rPr>
          <w:rFonts w:ascii="Times New Roman" w:hAnsi="Times New Roman"/>
          <w:b/>
          <w:bCs/>
          <w:color w:val="000000"/>
          <w:sz w:val="24"/>
          <w:szCs w:val="24"/>
          <w:lang w:eastAsia="pt-BR"/>
        </w:rPr>
        <w:t>716.796.446,00</w:t>
      </w:r>
      <w:r>
        <w:rPr>
          <w:rFonts w:ascii="Times New Roman" w:hAnsi="Times New Roman"/>
          <w:sz w:val="24"/>
          <w:szCs w:val="24"/>
        </w:rPr>
        <w:t>;</w:t>
      </w:r>
      <w:r w:rsidRPr="00F02ABE">
        <w:rPr>
          <w:rFonts w:ascii="Times New Roman" w:hAnsi="Times New Roman"/>
          <w:sz w:val="24"/>
          <w:szCs w:val="24"/>
        </w:rPr>
        <w:t xml:space="preserve"> sendo que os Outros Ingressos Operacionais contribuem com </w:t>
      </w:r>
      <w:r w:rsidRPr="005D67D9">
        <w:rPr>
          <w:rFonts w:ascii="Times New Roman" w:hAnsi="Times New Roman"/>
          <w:b/>
          <w:bCs/>
          <w:sz w:val="24"/>
          <w:szCs w:val="24"/>
        </w:rPr>
        <w:t xml:space="preserve">R$ </w:t>
      </w:r>
      <w:r w:rsidR="0093792A">
        <w:rPr>
          <w:rFonts w:ascii="Times New Roman" w:hAnsi="Times New Roman"/>
          <w:b/>
          <w:bCs/>
          <w:sz w:val="24"/>
          <w:szCs w:val="24"/>
        </w:rPr>
        <w:t>715.894.540,53</w:t>
      </w:r>
      <w:r w:rsidRPr="00F02ABE">
        <w:rPr>
          <w:rFonts w:ascii="Times New Roman" w:hAnsi="Times New Roman"/>
          <w:sz w:val="24"/>
          <w:szCs w:val="24"/>
        </w:rPr>
        <w:t>, ou seja, 99,</w:t>
      </w:r>
      <w:r>
        <w:rPr>
          <w:rFonts w:ascii="Times New Roman" w:hAnsi="Times New Roman"/>
          <w:sz w:val="24"/>
          <w:szCs w:val="24"/>
        </w:rPr>
        <w:t>8</w:t>
      </w:r>
      <w:r w:rsidR="008C0F2F">
        <w:rPr>
          <w:rFonts w:ascii="Times New Roman" w:hAnsi="Times New Roman"/>
          <w:sz w:val="24"/>
          <w:szCs w:val="24"/>
        </w:rPr>
        <w:t>7</w:t>
      </w:r>
      <w:r w:rsidRPr="00F02ABE">
        <w:rPr>
          <w:rFonts w:ascii="Times New Roman" w:hAnsi="Times New Roman"/>
          <w:sz w:val="24"/>
          <w:szCs w:val="24"/>
        </w:rPr>
        <w:t xml:space="preserve">% dos Ingressos no </w:t>
      </w:r>
      <w:r w:rsidR="004950AB">
        <w:rPr>
          <w:rFonts w:ascii="Times New Roman" w:hAnsi="Times New Roman"/>
          <w:sz w:val="24"/>
          <w:szCs w:val="24"/>
        </w:rPr>
        <w:t>quarto</w:t>
      </w:r>
      <w:r w:rsidRPr="00F02ABE">
        <w:rPr>
          <w:rFonts w:ascii="Times New Roman" w:hAnsi="Times New Roman"/>
          <w:sz w:val="24"/>
          <w:szCs w:val="24"/>
        </w:rPr>
        <w:t xml:space="preserve"> trimestre de 202</w:t>
      </w:r>
      <w:r>
        <w:rPr>
          <w:rFonts w:ascii="Times New Roman" w:hAnsi="Times New Roman"/>
          <w:sz w:val="24"/>
          <w:szCs w:val="24"/>
        </w:rPr>
        <w:t>4</w:t>
      </w:r>
      <w:r w:rsidRPr="00F02ABE">
        <w:rPr>
          <w:rFonts w:ascii="Times New Roman" w:hAnsi="Times New Roman"/>
          <w:sz w:val="24"/>
          <w:szCs w:val="24"/>
        </w:rPr>
        <w:t xml:space="preserve">. Dentro dos Outros Ingressos Operacionais estão as Transferências Financeiras Recebidas, que totalizaram </w:t>
      </w:r>
      <w:r w:rsidRPr="001C2F4A">
        <w:rPr>
          <w:rFonts w:ascii="Times New Roman" w:hAnsi="Times New Roman"/>
          <w:b/>
          <w:bCs/>
          <w:sz w:val="24"/>
          <w:szCs w:val="24"/>
        </w:rPr>
        <w:t xml:space="preserve">R$ </w:t>
      </w:r>
      <w:r w:rsidR="003E49BA">
        <w:rPr>
          <w:rFonts w:ascii="Times New Roman" w:hAnsi="Times New Roman"/>
          <w:b/>
          <w:bCs/>
          <w:sz w:val="24"/>
          <w:szCs w:val="24"/>
        </w:rPr>
        <w:t>712.040.953,13</w:t>
      </w:r>
      <w:r w:rsidRPr="00F02ABE">
        <w:rPr>
          <w:rFonts w:ascii="Times New Roman" w:hAnsi="Times New Roman"/>
          <w:sz w:val="24"/>
          <w:szCs w:val="24"/>
        </w:rPr>
        <w:t>.</w:t>
      </w:r>
    </w:p>
    <w:p w14:paraId="6512C804" w14:textId="24679CF1" w:rsidR="00CB2FF5"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r w:rsidRPr="00F02ABE">
        <w:rPr>
          <w:rFonts w:ascii="Times New Roman" w:hAnsi="Times New Roman"/>
          <w:b/>
          <w:bCs/>
          <w:sz w:val="24"/>
          <w:szCs w:val="24"/>
          <w:lang w:eastAsia="pt-BR"/>
        </w:rPr>
        <w:lastRenderedPageBreak/>
        <w:t>Tabela 29 – Resultado dos Ingressos</w:t>
      </w:r>
    </w:p>
    <w:p w14:paraId="35FC893E" w14:textId="77777777" w:rsidR="00BE67BA" w:rsidRDefault="00BE67BA"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1C903538" w14:textId="3E122A09" w:rsidR="00CB2FF5" w:rsidRPr="00BE67BA" w:rsidRDefault="00BE67BA" w:rsidP="00CB2FF5">
      <w:pPr>
        <w:autoSpaceDE w:val="0"/>
        <w:autoSpaceDN w:val="0"/>
        <w:adjustRightInd w:val="0"/>
        <w:spacing w:after="0" w:line="240" w:lineRule="auto"/>
        <w:ind w:left="1560"/>
        <w:jc w:val="both"/>
        <w:rPr>
          <w:rFonts w:ascii="Times New Roman" w:hAnsi="Times New Roman"/>
          <w:sz w:val="20"/>
          <w:szCs w:val="20"/>
        </w:rPr>
      </w:pPr>
      <w:r>
        <w:rPr>
          <w:rFonts w:ascii="Times New Roman" w:hAnsi="Times New Roman"/>
          <w:sz w:val="24"/>
          <w:szCs w:val="24"/>
        </w:rPr>
        <w:t xml:space="preserve">                                                                                                                                                                                   </w:t>
      </w:r>
      <w:r w:rsidR="00CB2FF5" w:rsidRPr="00BE67BA">
        <w:rPr>
          <w:rFonts w:ascii="Times New Roman" w:hAnsi="Times New Roman"/>
          <w:sz w:val="20"/>
          <w:szCs w:val="20"/>
        </w:rPr>
        <w:t>R$1,00</w:t>
      </w:r>
    </w:p>
    <w:tbl>
      <w:tblPr>
        <w:tblW w:w="1133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5"/>
        <w:gridCol w:w="1985"/>
        <w:gridCol w:w="1984"/>
        <w:gridCol w:w="1560"/>
        <w:gridCol w:w="1701"/>
      </w:tblGrid>
      <w:tr w:rsidR="00CB2FF5" w:rsidRPr="00F02ABE" w14:paraId="581837F5" w14:textId="77777777" w:rsidTr="00242CBD">
        <w:tc>
          <w:tcPr>
            <w:tcW w:w="4105" w:type="dxa"/>
            <w:shd w:val="clear" w:color="auto" w:fill="auto"/>
          </w:tcPr>
          <w:p w14:paraId="6356712B"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INGRESSOS</w:t>
            </w:r>
          </w:p>
        </w:tc>
        <w:tc>
          <w:tcPr>
            <w:tcW w:w="1985" w:type="dxa"/>
            <w:shd w:val="clear" w:color="auto" w:fill="auto"/>
          </w:tcPr>
          <w:p w14:paraId="064077EF"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4</w:t>
            </w:r>
          </w:p>
        </w:tc>
        <w:tc>
          <w:tcPr>
            <w:tcW w:w="1984" w:type="dxa"/>
            <w:shd w:val="clear" w:color="auto" w:fill="auto"/>
          </w:tcPr>
          <w:p w14:paraId="7245C238"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3</w:t>
            </w:r>
          </w:p>
        </w:tc>
        <w:tc>
          <w:tcPr>
            <w:tcW w:w="1560" w:type="dxa"/>
            <w:shd w:val="clear" w:color="auto" w:fill="auto"/>
          </w:tcPr>
          <w:p w14:paraId="7938D999"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AH (%)</w:t>
            </w:r>
          </w:p>
        </w:tc>
        <w:tc>
          <w:tcPr>
            <w:tcW w:w="1701" w:type="dxa"/>
          </w:tcPr>
          <w:p w14:paraId="1500BB25" w14:textId="5DFBF836"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AV (%)</w:t>
            </w:r>
          </w:p>
        </w:tc>
      </w:tr>
      <w:tr w:rsidR="00CB2FF5" w:rsidRPr="00F02ABE" w14:paraId="53FEDCD3" w14:textId="77777777" w:rsidTr="00242CBD">
        <w:tc>
          <w:tcPr>
            <w:tcW w:w="4105" w:type="dxa"/>
            <w:shd w:val="clear" w:color="auto" w:fill="auto"/>
          </w:tcPr>
          <w:p w14:paraId="342790B7"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Receita Patrimonial</w:t>
            </w:r>
          </w:p>
        </w:tc>
        <w:tc>
          <w:tcPr>
            <w:tcW w:w="1985" w:type="dxa"/>
            <w:shd w:val="clear" w:color="auto" w:fill="auto"/>
            <w:vAlign w:val="center"/>
          </w:tcPr>
          <w:p w14:paraId="6CE786BB" w14:textId="728C6031" w:rsidR="00CB2FF5" w:rsidRPr="00F02ABE" w:rsidRDefault="00F119F8"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83.349,80</w:t>
            </w:r>
          </w:p>
        </w:tc>
        <w:tc>
          <w:tcPr>
            <w:tcW w:w="1984" w:type="dxa"/>
            <w:shd w:val="clear" w:color="auto" w:fill="auto"/>
            <w:vAlign w:val="center"/>
          </w:tcPr>
          <w:p w14:paraId="0928B45D" w14:textId="6338AA8F" w:rsidR="00CB2FF5" w:rsidRPr="00F02ABE" w:rsidRDefault="000E6141" w:rsidP="00242CBD">
            <w:pPr>
              <w:autoSpaceDE w:val="0"/>
              <w:autoSpaceDN w:val="0"/>
              <w:adjustRightInd w:val="0"/>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57.379,82</w:t>
            </w:r>
          </w:p>
        </w:tc>
        <w:tc>
          <w:tcPr>
            <w:tcW w:w="1560" w:type="dxa"/>
            <w:shd w:val="clear" w:color="auto" w:fill="auto"/>
            <w:vAlign w:val="center"/>
          </w:tcPr>
          <w:p w14:paraId="799C1425" w14:textId="77D64E2B" w:rsidR="00CB2FF5" w:rsidRPr="00F02ABE" w:rsidRDefault="0081179D"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45,26</w:t>
            </w:r>
          </w:p>
        </w:tc>
        <w:tc>
          <w:tcPr>
            <w:tcW w:w="1701" w:type="dxa"/>
            <w:vAlign w:val="center"/>
          </w:tcPr>
          <w:p w14:paraId="73BDD0C4" w14:textId="07E516E4" w:rsidR="00CB2FF5" w:rsidRPr="00F02ABE" w:rsidRDefault="00907DD0"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0,01</w:t>
            </w:r>
          </w:p>
        </w:tc>
      </w:tr>
      <w:tr w:rsidR="00BE67BA" w:rsidRPr="00F02ABE" w14:paraId="20BE099C" w14:textId="77777777" w:rsidTr="00242CBD">
        <w:tc>
          <w:tcPr>
            <w:tcW w:w="4105" w:type="dxa"/>
            <w:shd w:val="clear" w:color="auto" w:fill="auto"/>
          </w:tcPr>
          <w:p w14:paraId="1C320DD3" w14:textId="18ED7EDA" w:rsidR="00BE67BA" w:rsidRPr="00F02ABE" w:rsidRDefault="00BE67BA" w:rsidP="00242CBD">
            <w:pPr>
              <w:autoSpaceDE w:val="0"/>
              <w:autoSpaceDN w:val="0"/>
              <w:adjustRightInd w:val="0"/>
              <w:spacing w:after="0" w:line="240" w:lineRule="auto"/>
              <w:jc w:val="both"/>
              <w:rPr>
                <w:rFonts w:ascii="Times New Roman" w:hAnsi="Times New Roman"/>
                <w:color w:val="000000"/>
                <w:sz w:val="24"/>
                <w:szCs w:val="24"/>
                <w:lang w:eastAsia="pt-BR"/>
              </w:rPr>
            </w:pPr>
            <w:r>
              <w:rPr>
                <w:rFonts w:ascii="Times New Roman" w:hAnsi="Times New Roman"/>
                <w:color w:val="000000"/>
                <w:sz w:val="24"/>
                <w:szCs w:val="24"/>
                <w:lang w:eastAsia="pt-BR"/>
              </w:rPr>
              <w:t>Receita Agropecuária</w:t>
            </w:r>
          </w:p>
        </w:tc>
        <w:tc>
          <w:tcPr>
            <w:tcW w:w="1985" w:type="dxa"/>
            <w:shd w:val="clear" w:color="auto" w:fill="auto"/>
            <w:vAlign w:val="center"/>
          </w:tcPr>
          <w:p w14:paraId="474914DE" w14:textId="35237149" w:rsidR="00BE67BA" w:rsidRDefault="000E6141"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1,00</w:t>
            </w:r>
          </w:p>
        </w:tc>
        <w:tc>
          <w:tcPr>
            <w:tcW w:w="1984" w:type="dxa"/>
            <w:shd w:val="clear" w:color="auto" w:fill="auto"/>
            <w:vAlign w:val="center"/>
          </w:tcPr>
          <w:p w14:paraId="59B271D9" w14:textId="54935C72" w:rsidR="00BE67BA" w:rsidRDefault="000E6141" w:rsidP="00242CBD">
            <w:pPr>
              <w:autoSpaceDE w:val="0"/>
              <w:autoSpaceDN w:val="0"/>
              <w:adjustRightInd w:val="0"/>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0,00</w:t>
            </w:r>
          </w:p>
        </w:tc>
        <w:tc>
          <w:tcPr>
            <w:tcW w:w="1560" w:type="dxa"/>
            <w:shd w:val="clear" w:color="auto" w:fill="auto"/>
            <w:vAlign w:val="center"/>
          </w:tcPr>
          <w:p w14:paraId="2DC66C92" w14:textId="0CCBCB41" w:rsidR="00BE67BA" w:rsidRPr="00F02ABE" w:rsidRDefault="00450CC1"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0,00</w:t>
            </w:r>
          </w:p>
        </w:tc>
        <w:tc>
          <w:tcPr>
            <w:tcW w:w="1701" w:type="dxa"/>
            <w:vAlign w:val="center"/>
          </w:tcPr>
          <w:p w14:paraId="303FF59B" w14:textId="1E31E63D" w:rsidR="00BE67BA" w:rsidRPr="00F02ABE" w:rsidRDefault="00450CC1"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0,00</w:t>
            </w:r>
          </w:p>
        </w:tc>
      </w:tr>
      <w:tr w:rsidR="00CB2FF5" w:rsidRPr="00F02ABE" w14:paraId="5629A668" w14:textId="77777777" w:rsidTr="00242CBD">
        <w:tc>
          <w:tcPr>
            <w:tcW w:w="4105" w:type="dxa"/>
            <w:shd w:val="clear" w:color="auto" w:fill="auto"/>
          </w:tcPr>
          <w:p w14:paraId="736A5A99"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Receita de Serviços</w:t>
            </w:r>
          </w:p>
        </w:tc>
        <w:tc>
          <w:tcPr>
            <w:tcW w:w="1985" w:type="dxa"/>
            <w:shd w:val="clear" w:color="auto" w:fill="auto"/>
          </w:tcPr>
          <w:p w14:paraId="52229884" w14:textId="728BD1FE" w:rsidR="00CB2FF5" w:rsidRPr="00F02ABE" w:rsidRDefault="002C5743" w:rsidP="00242CBD">
            <w:pPr>
              <w:autoSpaceDE w:val="0"/>
              <w:autoSpaceDN w:val="0"/>
              <w:adjustRightInd w:val="0"/>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580.541,32</w:t>
            </w:r>
          </w:p>
        </w:tc>
        <w:tc>
          <w:tcPr>
            <w:tcW w:w="1984" w:type="dxa"/>
            <w:shd w:val="clear" w:color="auto" w:fill="auto"/>
          </w:tcPr>
          <w:p w14:paraId="1441E064" w14:textId="27CC0C26" w:rsidR="00CB2FF5" w:rsidRPr="00F02ABE" w:rsidRDefault="002C5743" w:rsidP="00242CBD">
            <w:pPr>
              <w:autoSpaceDE w:val="0"/>
              <w:autoSpaceDN w:val="0"/>
              <w:adjustRightInd w:val="0"/>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773.898,99</w:t>
            </w:r>
          </w:p>
        </w:tc>
        <w:tc>
          <w:tcPr>
            <w:tcW w:w="1560" w:type="dxa"/>
            <w:shd w:val="clear" w:color="auto" w:fill="auto"/>
            <w:vAlign w:val="center"/>
          </w:tcPr>
          <w:p w14:paraId="3E4A070A" w14:textId="0EEBD41D" w:rsidR="00CB2FF5" w:rsidRPr="00F02ABE" w:rsidRDefault="00DF7CBE"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-24,98</w:t>
            </w:r>
          </w:p>
        </w:tc>
        <w:tc>
          <w:tcPr>
            <w:tcW w:w="1701" w:type="dxa"/>
            <w:vAlign w:val="center"/>
          </w:tcPr>
          <w:p w14:paraId="38FCD2A4" w14:textId="5049618F" w:rsidR="00CB2FF5" w:rsidRPr="00F02ABE" w:rsidRDefault="00040B2E"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0,08</w:t>
            </w:r>
          </w:p>
        </w:tc>
      </w:tr>
      <w:tr w:rsidR="00CB2FF5" w:rsidRPr="00F02ABE" w14:paraId="5463E886" w14:textId="77777777" w:rsidTr="00242CBD">
        <w:tc>
          <w:tcPr>
            <w:tcW w:w="4105" w:type="dxa"/>
            <w:shd w:val="clear" w:color="auto" w:fill="auto"/>
          </w:tcPr>
          <w:p w14:paraId="16E1D2E7"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Outras Receitas Derivadas e Originárias</w:t>
            </w:r>
          </w:p>
        </w:tc>
        <w:tc>
          <w:tcPr>
            <w:tcW w:w="1985" w:type="dxa"/>
            <w:shd w:val="clear" w:color="auto" w:fill="auto"/>
          </w:tcPr>
          <w:p w14:paraId="7064A9B4" w14:textId="6ED0E5F9" w:rsidR="00CB2FF5" w:rsidRPr="00F02ABE" w:rsidRDefault="002C5743" w:rsidP="00242CBD">
            <w:pPr>
              <w:autoSpaceDE w:val="0"/>
              <w:autoSpaceDN w:val="0"/>
              <w:adjustRightInd w:val="0"/>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238.</w:t>
            </w:r>
            <w:r w:rsidR="00A3193A">
              <w:rPr>
                <w:rFonts w:ascii="Times New Roman" w:hAnsi="Times New Roman"/>
                <w:color w:val="000000"/>
                <w:sz w:val="24"/>
                <w:szCs w:val="24"/>
                <w:lang w:eastAsia="pt-BR"/>
              </w:rPr>
              <w:t>013,35</w:t>
            </w:r>
          </w:p>
        </w:tc>
        <w:tc>
          <w:tcPr>
            <w:tcW w:w="1984" w:type="dxa"/>
            <w:shd w:val="clear" w:color="auto" w:fill="auto"/>
          </w:tcPr>
          <w:p w14:paraId="60CF4AA9" w14:textId="23CAD149" w:rsidR="00CB2FF5" w:rsidRPr="00F02ABE" w:rsidRDefault="00A3193A" w:rsidP="00242CBD">
            <w:pPr>
              <w:autoSpaceDE w:val="0"/>
              <w:autoSpaceDN w:val="0"/>
              <w:adjustRightInd w:val="0"/>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83.318,76</w:t>
            </w:r>
          </w:p>
        </w:tc>
        <w:tc>
          <w:tcPr>
            <w:tcW w:w="1560" w:type="dxa"/>
            <w:shd w:val="clear" w:color="auto" w:fill="auto"/>
            <w:vAlign w:val="center"/>
          </w:tcPr>
          <w:p w14:paraId="0B70215F" w14:textId="65D83C3A" w:rsidR="00CB2FF5" w:rsidRPr="00F02ABE" w:rsidRDefault="00670048"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185,67</w:t>
            </w:r>
          </w:p>
        </w:tc>
        <w:tc>
          <w:tcPr>
            <w:tcW w:w="1701" w:type="dxa"/>
            <w:vAlign w:val="center"/>
          </w:tcPr>
          <w:p w14:paraId="67BCE32B" w14:textId="0C9F5F39" w:rsidR="00CB2FF5" w:rsidRPr="00F02ABE" w:rsidRDefault="00AF502A"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0,03</w:t>
            </w:r>
          </w:p>
        </w:tc>
      </w:tr>
      <w:tr w:rsidR="00CB2FF5" w:rsidRPr="00F02ABE" w14:paraId="440C343C" w14:textId="77777777" w:rsidTr="00242CBD">
        <w:tc>
          <w:tcPr>
            <w:tcW w:w="4105" w:type="dxa"/>
            <w:shd w:val="clear" w:color="auto" w:fill="auto"/>
          </w:tcPr>
          <w:p w14:paraId="17DC38D8"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Outros Ingressos Operacionais</w:t>
            </w:r>
          </w:p>
        </w:tc>
        <w:tc>
          <w:tcPr>
            <w:tcW w:w="1985" w:type="dxa"/>
            <w:shd w:val="clear" w:color="auto" w:fill="auto"/>
          </w:tcPr>
          <w:p w14:paraId="767D79FA" w14:textId="465E25B9" w:rsidR="00CB2FF5" w:rsidRPr="00F02ABE" w:rsidRDefault="00A3193A" w:rsidP="00242CBD">
            <w:pPr>
              <w:autoSpaceDE w:val="0"/>
              <w:autoSpaceDN w:val="0"/>
              <w:adjustRightInd w:val="0"/>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715.894.540,53</w:t>
            </w:r>
          </w:p>
        </w:tc>
        <w:tc>
          <w:tcPr>
            <w:tcW w:w="1984" w:type="dxa"/>
            <w:shd w:val="clear" w:color="auto" w:fill="auto"/>
          </w:tcPr>
          <w:p w14:paraId="46BD5EE9" w14:textId="7CB2E684" w:rsidR="00CB2FF5" w:rsidRPr="00F02ABE" w:rsidRDefault="00A3193A" w:rsidP="00242CBD">
            <w:pPr>
              <w:autoSpaceDE w:val="0"/>
              <w:autoSpaceDN w:val="0"/>
              <w:adjustRightInd w:val="0"/>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644.</w:t>
            </w:r>
            <w:r w:rsidR="0071638D">
              <w:rPr>
                <w:rFonts w:ascii="Times New Roman" w:hAnsi="Times New Roman"/>
                <w:color w:val="000000"/>
                <w:sz w:val="24"/>
                <w:szCs w:val="24"/>
                <w:lang w:eastAsia="pt-BR"/>
              </w:rPr>
              <w:t>569.346,66</w:t>
            </w:r>
          </w:p>
        </w:tc>
        <w:tc>
          <w:tcPr>
            <w:tcW w:w="1560" w:type="dxa"/>
            <w:shd w:val="clear" w:color="auto" w:fill="auto"/>
            <w:vAlign w:val="center"/>
          </w:tcPr>
          <w:p w14:paraId="69EEEA7B" w14:textId="3E133C95" w:rsidR="00CB2FF5" w:rsidRPr="00F02ABE" w:rsidRDefault="008A280C"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11,07</w:t>
            </w:r>
          </w:p>
        </w:tc>
        <w:tc>
          <w:tcPr>
            <w:tcW w:w="1701" w:type="dxa"/>
            <w:vAlign w:val="center"/>
          </w:tcPr>
          <w:p w14:paraId="0DA668B9" w14:textId="3C275526" w:rsidR="00CB2FF5" w:rsidRPr="00F02ABE" w:rsidRDefault="002833F8"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99,87</w:t>
            </w:r>
          </w:p>
        </w:tc>
      </w:tr>
      <w:tr w:rsidR="005F5A89" w:rsidRPr="00F02ABE" w14:paraId="2C40DC69" w14:textId="77777777" w:rsidTr="00EA7780">
        <w:tc>
          <w:tcPr>
            <w:tcW w:w="4105" w:type="dxa"/>
            <w:shd w:val="clear" w:color="auto" w:fill="auto"/>
          </w:tcPr>
          <w:p w14:paraId="233CB006" w14:textId="77777777" w:rsidR="005F5A89" w:rsidRPr="00F02ABE" w:rsidRDefault="005F5A89" w:rsidP="005F5A89">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TOTAL</w:t>
            </w:r>
          </w:p>
        </w:tc>
        <w:tc>
          <w:tcPr>
            <w:tcW w:w="1985" w:type="dxa"/>
            <w:shd w:val="clear" w:color="auto" w:fill="auto"/>
            <w:vAlign w:val="center"/>
          </w:tcPr>
          <w:p w14:paraId="6A39A1EE" w14:textId="5575D024" w:rsidR="005F5A89" w:rsidRPr="00777218" w:rsidRDefault="005F5A89" w:rsidP="005F5A89">
            <w:pPr>
              <w:autoSpaceDE w:val="0"/>
              <w:autoSpaceDN w:val="0"/>
              <w:adjustRightInd w:val="0"/>
              <w:spacing w:after="0" w:line="240" w:lineRule="auto"/>
              <w:jc w:val="right"/>
              <w:rPr>
                <w:rFonts w:ascii="Times New Roman" w:hAnsi="Times New Roman"/>
                <w:b/>
                <w:bCs/>
                <w:color w:val="000000"/>
                <w:sz w:val="24"/>
                <w:szCs w:val="24"/>
                <w:lang w:eastAsia="pt-BR"/>
              </w:rPr>
            </w:pPr>
            <w:r w:rsidRPr="00777218">
              <w:rPr>
                <w:rFonts w:ascii="Times New Roman" w:hAnsi="Times New Roman"/>
                <w:b/>
                <w:bCs/>
                <w:color w:val="000000"/>
                <w:sz w:val="24"/>
                <w:szCs w:val="24"/>
                <w:lang w:eastAsia="pt-BR"/>
              </w:rPr>
              <w:t>716.796.446,00</w:t>
            </w:r>
          </w:p>
        </w:tc>
        <w:tc>
          <w:tcPr>
            <w:tcW w:w="1984" w:type="dxa"/>
            <w:shd w:val="clear" w:color="auto" w:fill="auto"/>
            <w:vAlign w:val="center"/>
          </w:tcPr>
          <w:p w14:paraId="400619CD" w14:textId="23BEDBF5" w:rsidR="005F5A89" w:rsidRPr="00777218" w:rsidRDefault="005F5A89" w:rsidP="005F5A89">
            <w:pPr>
              <w:spacing w:after="0" w:line="240" w:lineRule="auto"/>
              <w:jc w:val="right"/>
              <w:rPr>
                <w:rFonts w:ascii="Times New Roman" w:hAnsi="Times New Roman"/>
                <w:b/>
                <w:bCs/>
                <w:color w:val="000000"/>
                <w:sz w:val="24"/>
                <w:szCs w:val="24"/>
                <w:lang w:eastAsia="pt-BR"/>
              </w:rPr>
            </w:pPr>
            <w:r w:rsidRPr="00777218">
              <w:rPr>
                <w:rFonts w:ascii="Times New Roman" w:hAnsi="Times New Roman"/>
                <w:b/>
                <w:bCs/>
                <w:color w:val="000000"/>
                <w:sz w:val="24"/>
                <w:szCs w:val="24"/>
                <w:lang w:eastAsia="pt-BR"/>
              </w:rPr>
              <w:t>645.483944,23</w:t>
            </w:r>
          </w:p>
        </w:tc>
        <w:tc>
          <w:tcPr>
            <w:tcW w:w="1560" w:type="dxa"/>
            <w:shd w:val="clear" w:color="auto" w:fill="auto"/>
          </w:tcPr>
          <w:p w14:paraId="4518AE5B" w14:textId="2B412BDD" w:rsidR="005F5A89" w:rsidRPr="00777218" w:rsidRDefault="005772FA" w:rsidP="005F5A89">
            <w:pPr>
              <w:autoSpaceDE w:val="0"/>
              <w:autoSpaceDN w:val="0"/>
              <w:adjustRightInd w:val="0"/>
              <w:spacing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11,05</w:t>
            </w:r>
          </w:p>
        </w:tc>
        <w:tc>
          <w:tcPr>
            <w:tcW w:w="1701" w:type="dxa"/>
          </w:tcPr>
          <w:p w14:paraId="5EE5AD93" w14:textId="302EBD88" w:rsidR="005F5A89" w:rsidRPr="00777218" w:rsidRDefault="00621A69" w:rsidP="005F5A89">
            <w:pPr>
              <w:autoSpaceDE w:val="0"/>
              <w:autoSpaceDN w:val="0"/>
              <w:adjustRightInd w:val="0"/>
              <w:spacing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100</w:t>
            </w:r>
          </w:p>
        </w:tc>
      </w:tr>
    </w:tbl>
    <w:p w14:paraId="4F547339" w14:textId="77777777" w:rsidR="00CB2FF5" w:rsidRPr="00933777" w:rsidRDefault="00CB2FF5" w:rsidP="00CB2FF5">
      <w:pPr>
        <w:autoSpaceDE w:val="0"/>
        <w:autoSpaceDN w:val="0"/>
        <w:adjustRightInd w:val="0"/>
        <w:spacing w:after="0" w:line="240" w:lineRule="auto"/>
        <w:ind w:left="1701"/>
        <w:jc w:val="both"/>
        <w:rPr>
          <w:rFonts w:ascii="Times New Roman" w:hAnsi="Times New Roman"/>
          <w:sz w:val="20"/>
          <w:szCs w:val="20"/>
        </w:rPr>
      </w:pPr>
      <w:r w:rsidRPr="00933777">
        <w:rPr>
          <w:rFonts w:ascii="Times New Roman" w:hAnsi="Times New Roman"/>
          <w:sz w:val="20"/>
          <w:szCs w:val="20"/>
        </w:rPr>
        <w:t>Fonte: SIAFI, 202</w:t>
      </w:r>
      <w:r>
        <w:rPr>
          <w:rFonts w:ascii="Times New Roman" w:hAnsi="Times New Roman"/>
          <w:sz w:val="20"/>
          <w:szCs w:val="20"/>
        </w:rPr>
        <w:t>4</w:t>
      </w:r>
      <w:r w:rsidRPr="00933777">
        <w:rPr>
          <w:rFonts w:ascii="Times New Roman" w:hAnsi="Times New Roman"/>
          <w:sz w:val="20"/>
          <w:szCs w:val="20"/>
        </w:rPr>
        <w:t xml:space="preserve"> e 202</w:t>
      </w:r>
      <w:r>
        <w:rPr>
          <w:rFonts w:ascii="Times New Roman" w:hAnsi="Times New Roman"/>
          <w:sz w:val="20"/>
          <w:szCs w:val="20"/>
        </w:rPr>
        <w:t>3</w:t>
      </w:r>
      <w:r w:rsidRPr="00933777">
        <w:rPr>
          <w:rFonts w:ascii="Times New Roman" w:hAnsi="Times New Roman"/>
          <w:sz w:val="20"/>
          <w:szCs w:val="20"/>
        </w:rPr>
        <w:t>.</w:t>
      </w:r>
    </w:p>
    <w:p w14:paraId="75D52BB1"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rPr>
      </w:pPr>
    </w:p>
    <w:p w14:paraId="0DFA2B47" w14:textId="6649BD8F"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rPr>
      </w:pPr>
      <w:r w:rsidRPr="00F02ABE">
        <w:rPr>
          <w:rFonts w:ascii="Times New Roman" w:hAnsi="Times New Roman"/>
          <w:sz w:val="24"/>
          <w:szCs w:val="24"/>
        </w:rPr>
        <w:t xml:space="preserve">Os Desembolsos no período totalizaram </w:t>
      </w:r>
      <w:r w:rsidRPr="006404A9">
        <w:rPr>
          <w:rFonts w:ascii="Times New Roman" w:hAnsi="Times New Roman"/>
          <w:b/>
          <w:bCs/>
          <w:sz w:val="24"/>
          <w:szCs w:val="24"/>
        </w:rPr>
        <w:t>R$</w:t>
      </w:r>
      <w:r w:rsidRPr="00F02ABE">
        <w:rPr>
          <w:rFonts w:ascii="Times New Roman" w:hAnsi="Times New Roman"/>
          <w:sz w:val="24"/>
          <w:szCs w:val="24"/>
        </w:rPr>
        <w:t xml:space="preserve"> </w:t>
      </w:r>
      <w:r w:rsidR="00ED567F">
        <w:rPr>
          <w:rFonts w:ascii="Times New Roman" w:hAnsi="Times New Roman"/>
          <w:b/>
          <w:bCs/>
          <w:color w:val="000000"/>
          <w:sz w:val="24"/>
          <w:szCs w:val="24"/>
          <w:lang w:eastAsia="pt-BR"/>
        </w:rPr>
        <w:t>709.887.264,24</w:t>
      </w:r>
      <w:r w:rsidRPr="00F02ABE">
        <w:rPr>
          <w:rFonts w:ascii="Times New Roman" w:hAnsi="Times New Roman"/>
          <w:sz w:val="24"/>
          <w:szCs w:val="24"/>
        </w:rPr>
        <w:t xml:space="preserve">, com crescimento de </w:t>
      </w:r>
      <w:r>
        <w:rPr>
          <w:rFonts w:ascii="Times New Roman" w:hAnsi="Times New Roman"/>
          <w:sz w:val="24"/>
          <w:szCs w:val="24"/>
        </w:rPr>
        <w:t>1</w:t>
      </w:r>
      <w:r w:rsidR="00ED567F">
        <w:rPr>
          <w:rFonts w:ascii="Times New Roman" w:hAnsi="Times New Roman"/>
          <w:sz w:val="24"/>
          <w:szCs w:val="24"/>
        </w:rPr>
        <w:t>2,09</w:t>
      </w:r>
      <w:r w:rsidRPr="00F02ABE">
        <w:rPr>
          <w:rFonts w:ascii="Times New Roman" w:hAnsi="Times New Roman"/>
          <w:sz w:val="24"/>
          <w:szCs w:val="24"/>
        </w:rPr>
        <w:t xml:space="preserve">% em relação ao mesmo período do ano anterior.  Pessoal e Demais Despesas possuem um saldo de R$ </w:t>
      </w:r>
      <w:r w:rsidR="0030693D">
        <w:rPr>
          <w:rFonts w:ascii="Times New Roman" w:hAnsi="Times New Roman"/>
          <w:color w:val="000000"/>
          <w:sz w:val="24"/>
          <w:szCs w:val="24"/>
          <w:lang w:eastAsia="pt-BR"/>
        </w:rPr>
        <w:t>578.997.038,29</w:t>
      </w:r>
      <w:r w:rsidRPr="00F02ABE">
        <w:rPr>
          <w:rFonts w:ascii="Times New Roman" w:hAnsi="Times New Roman"/>
          <w:sz w:val="24"/>
          <w:szCs w:val="24"/>
        </w:rPr>
        <w:t>, e houve uma evolução de</w:t>
      </w:r>
      <w:r>
        <w:rPr>
          <w:rFonts w:ascii="Times New Roman" w:hAnsi="Times New Roman"/>
          <w:sz w:val="24"/>
          <w:szCs w:val="24"/>
        </w:rPr>
        <w:t xml:space="preserve"> </w:t>
      </w:r>
      <w:r w:rsidR="00725118">
        <w:rPr>
          <w:rFonts w:ascii="Times New Roman" w:hAnsi="Times New Roman"/>
          <w:sz w:val="24"/>
          <w:szCs w:val="24"/>
        </w:rPr>
        <w:t>1</w:t>
      </w:r>
      <w:r w:rsidR="0030693D">
        <w:rPr>
          <w:rFonts w:ascii="Times New Roman" w:hAnsi="Times New Roman"/>
          <w:sz w:val="24"/>
          <w:szCs w:val="24"/>
        </w:rPr>
        <w:t>5,51</w:t>
      </w:r>
      <w:r w:rsidRPr="00F02ABE">
        <w:rPr>
          <w:rFonts w:ascii="Times New Roman" w:hAnsi="Times New Roman"/>
          <w:sz w:val="24"/>
          <w:szCs w:val="24"/>
        </w:rPr>
        <w:t>%</w:t>
      </w:r>
      <w:r>
        <w:rPr>
          <w:rFonts w:ascii="Times New Roman" w:hAnsi="Times New Roman"/>
          <w:sz w:val="24"/>
          <w:szCs w:val="24"/>
        </w:rPr>
        <w:t>, contribuindo com 8</w:t>
      </w:r>
      <w:r w:rsidR="0030693D">
        <w:rPr>
          <w:rFonts w:ascii="Times New Roman" w:hAnsi="Times New Roman"/>
          <w:sz w:val="24"/>
          <w:szCs w:val="24"/>
        </w:rPr>
        <w:t>1,56</w:t>
      </w:r>
      <w:r>
        <w:rPr>
          <w:rFonts w:ascii="Times New Roman" w:hAnsi="Times New Roman"/>
          <w:sz w:val="24"/>
          <w:szCs w:val="24"/>
        </w:rPr>
        <w:t>% em relação ao total dos desembolsos</w:t>
      </w:r>
      <w:r w:rsidRPr="00F02ABE">
        <w:rPr>
          <w:rFonts w:ascii="Times New Roman" w:hAnsi="Times New Roman"/>
          <w:sz w:val="24"/>
          <w:szCs w:val="24"/>
        </w:rPr>
        <w:t>.</w:t>
      </w:r>
    </w:p>
    <w:p w14:paraId="515AED94" w14:textId="77777777" w:rsidR="00CB2FF5"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285915BE" w14:textId="77777777" w:rsidR="00CB2FF5" w:rsidRPr="00F02ABE"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r w:rsidRPr="00F02ABE">
        <w:rPr>
          <w:rFonts w:ascii="Times New Roman" w:hAnsi="Times New Roman"/>
          <w:b/>
          <w:bCs/>
          <w:sz w:val="24"/>
          <w:szCs w:val="24"/>
          <w:lang w:eastAsia="pt-BR"/>
        </w:rPr>
        <w:t>Tabela 30 – Resultado dos Desembolsos</w:t>
      </w:r>
    </w:p>
    <w:p w14:paraId="7CA3DEBB" w14:textId="77777777" w:rsidR="00CB2FF5" w:rsidRPr="00F02ABE" w:rsidRDefault="00CB2FF5" w:rsidP="00CB2FF5">
      <w:pPr>
        <w:autoSpaceDE w:val="0"/>
        <w:autoSpaceDN w:val="0"/>
        <w:adjustRightInd w:val="0"/>
        <w:spacing w:after="0" w:line="240" w:lineRule="auto"/>
        <w:ind w:firstLine="1560"/>
        <w:jc w:val="both"/>
        <w:rPr>
          <w:rFonts w:ascii="Times New Roman" w:hAnsi="Times New Roman"/>
          <w:sz w:val="24"/>
          <w:szCs w:val="24"/>
        </w:rPr>
      </w:pPr>
      <w:r w:rsidRPr="00F02ABE">
        <w:rPr>
          <w:rFonts w:ascii="Times New Roman" w:hAnsi="Times New Roman"/>
          <w:sz w:val="24"/>
          <w:szCs w:val="24"/>
        </w:rPr>
        <w:t xml:space="preserve">                                                                                                                                                                                                                                                     </w:t>
      </w:r>
    </w:p>
    <w:tbl>
      <w:tblPr>
        <w:tblW w:w="1133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2"/>
        <w:gridCol w:w="1984"/>
        <w:gridCol w:w="1985"/>
        <w:gridCol w:w="1984"/>
        <w:gridCol w:w="1560"/>
      </w:tblGrid>
      <w:tr w:rsidR="00CB2FF5" w:rsidRPr="00F02ABE" w14:paraId="46EEBD45" w14:textId="77777777" w:rsidTr="00242CBD">
        <w:tc>
          <w:tcPr>
            <w:tcW w:w="3822" w:type="dxa"/>
            <w:shd w:val="clear" w:color="auto" w:fill="auto"/>
          </w:tcPr>
          <w:p w14:paraId="35A49B6E"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DESEMBOLSOS</w:t>
            </w:r>
          </w:p>
        </w:tc>
        <w:tc>
          <w:tcPr>
            <w:tcW w:w="1984" w:type="dxa"/>
            <w:shd w:val="clear" w:color="auto" w:fill="auto"/>
          </w:tcPr>
          <w:p w14:paraId="06EB893B"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4</w:t>
            </w:r>
          </w:p>
        </w:tc>
        <w:tc>
          <w:tcPr>
            <w:tcW w:w="1985" w:type="dxa"/>
            <w:shd w:val="clear" w:color="auto" w:fill="auto"/>
          </w:tcPr>
          <w:p w14:paraId="14FC4DBD"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3</w:t>
            </w:r>
          </w:p>
        </w:tc>
        <w:tc>
          <w:tcPr>
            <w:tcW w:w="1984" w:type="dxa"/>
            <w:shd w:val="clear" w:color="auto" w:fill="auto"/>
          </w:tcPr>
          <w:p w14:paraId="2E3F1311"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AH (%)</w:t>
            </w:r>
          </w:p>
        </w:tc>
        <w:tc>
          <w:tcPr>
            <w:tcW w:w="1560" w:type="dxa"/>
          </w:tcPr>
          <w:p w14:paraId="44CB50FC"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AV (%)202</w:t>
            </w:r>
            <w:r>
              <w:rPr>
                <w:rFonts w:ascii="Times New Roman" w:hAnsi="Times New Roman"/>
                <w:b/>
                <w:color w:val="000000"/>
                <w:sz w:val="24"/>
                <w:szCs w:val="24"/>
                <w:lang w:eastAsia="pt-BR"/>
              </w:rPr>
              <w:t>3</w:t>
            </w:r>
          </w:p>
        </w:tc>
      </w:tr>
      <w:tr w:rsidR="00CB2FF5" w:rsidRPr="00F02ABE" w14:paraId="6BA36787" w14:textId="77777777" w:rsidTr="00242CBD">
        <w:tc>
          <w:tcPr>
            <w:tcW w:w="3822" w:type="dxa"/>
            <w:shd w:val="clear" w:color="auto" w:fill="auto"/>
          </w:tcPr>
          <w:p w14:paraId="4FDFE538"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Pessoal de Demais Despesas</w:t>
            </w:r>
          </w:p>
        </w:tc>
        <w:tc>
          <w:tcPr>
            <w:tcW w:w="1984" w:type="dxa"/>
            <w:shd w:val="clear" w:color="auto" w:fill="auto"/>
            <w:vAlign w:val="center"/>
          </w:tcPr>
          <w:p w14:paraId="5B69776C" w14:textId="5BFD434B" w:rsidR="00CB2FF5" w:rsidRPr="00F02ABE" w:rsidRDefault="00075F25"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578.997.038,29</w:t>
            </w:r>
          </w:p>
        </w:tc>
        <w:tc>
          <w:tcPr>
            <w:tcW w:w="1985" w:type="dxa"/>
            <w:shd w:val="clear" w:color="auto" w:fill="auto"/>
            <w:vAlign w:val="center"/>
          </w:tcPr>
          <w:p w14:paraId="78176184" w14:textId="057A784D" w:rsidR="00CB2FF5" w:rsidRPr="00F02ABE" w:rsidRDefault="00075F25"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501.268.200,67</w:t>
            </w:r>
          </w:p>
        </w:tc>
        <w:tc>
          <w:tcPr>
            <w:tcW w:w="1984" w:type="dxa"/>
            <w:shd w:val="clear" w:color="auto" w:fill="auto"/>
            <w:vAlign w:val="center"/>
          </w:tcPr>
          <w:p w14:paraId="34050BC0" w14:textId="4F49EB9A" w:rsidR="00CB2FF5" w:rsidRPr="00F02ABE" w:rsidRDefault="009F67B5"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15,51</w:t>
            </w:r>
          </w:p>
        </w:tc>
        <w:tc>
          <w:tcPr>
            <w:tcW w:w="1560" w:type="dxa"/>
            <w:vAlign w:val="center"/>
          </w:tcPr>
          <w:p w14:paraId="40A095E6" w14:textId="57A99B47" w:rsidR="00CB2FF5" w:rsidRPr="00F02ABE" w:rsidRDefault="00F04725"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81,56</w:t>
            </w:r>
          </w:p>
        </w:tc>
      </w:tr>
      <w:tr w:rsidR="00CB2FF5" w:rsidRPr="00F02ABE" w14:paraId="39609549" w14:textId="77777777" w:rsidTr="00242CBD">
        <w:tc>
          <w:tcPr>
            <w:tcW w:w="3822" w:type="dxa"/>
            <w:shd w:val="clear" w:color="auto" w:fill="auto"/>
          </w:tcPr>
          <w:p w14:paraId="76C7911D"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Transferências Concedidas</w:t>
            </w:r>
          </w:p>
        </w:tc>
        <w:tc>
          <w:tcPr>
            <w:tcW w:w="1984" w:type="dxa"/>
            <w:shd w:val="clear" w:color="auto" w:fill="auto"/>
          </w:tcPr>
          <w:p w14:paraId="6116F51A" w14:textId="0BA348A4" w:rsidR="00CB2FF5" w:rsidRPr="00F02ABE" w:rsidRDefault="00AB0B79"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76.830.034,96</w:t>
            </w:r>
          </w:p>
        </w:tc>
        <w:tc>
          <w:tcPr>
            <w:tcW w:w="1985" w:type="dxa"/>
            <w:shd w:val="clear" w:color="auto" w:fill="auto"/>
            <w:vAlign w:val="center"/>
          </w:tcPr>
          <w:p w14:paraId="48C5D21E" w14:textId="58C690E9" w:rsidR="00CB2FF5" w:rsidRPr="00F02ABE" w:rsidRDefault="00AB0B79"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71.231.</w:t>
            </w:r>
            <w:r w:rsidR="0002400E">
              <w:rPr>
                <w:rFonts w:ascii="Times New Roman" w:hAnsi="Times New Roman"/>
                <w:color w:val="000000"/>
                <w:sz w:val="24"/>
                <w:szCs w:val="24"/>
                <w:lang w:eastAsia="pt-BR"/>
              </w:rPr>
              <w:t>348,21</w:t>
            </w:r>
          </w:p>
        </w:tc>
        <w:tc>
          <w:tcPr>
            <w:tcW w:w="1984" w:type="dxa"/>
            <w:shd w:val="clear" w:color="auto" w:fill="auto"/>
            <w:vAlign w:val="center"/>
          </w:tcPr>
          <w:p w14:paraId="681AA369" w14:textId="14BB8CC3" w:rsidR="00CB2FF5" w:rsidRPr="00F02ABE" w:rsidRDefault="00CE3C99"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7,86</w:t>
            </w:r>
          </w:p>
        </w:tc>
        <w:tc>
          <w:tcPr>
            <w:tcW w:w="1560" w:type="dxa"/>
            <w:vAlign w:val="center"/>
          </w:tcPr>
          <w:p w14:paraId="60FBDD2B" w14:textId="4709FE51" w:rsidR="00CB2FF5" w:rsidRPr="00F02ABE" w:rsidRDefault="00C40B31"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10,82</w:t>
            </w:r>
          </w:p>
        </w:tc>
      </w:tr>
      <w:tr w:rsidR="00CB2FF5" w:rsidRPr="00F02ABE" w14:paraId="205CF34E" w14:textId="77777777" w:rsidTr="00242CBD">
        <w:tc>
          <w:tcPr>
            <w:tcW w:w="3822" w:type="dxa"/>
            <w:shd w:val="clear" w:color="auto" w:fill="auto"/>
          </w:tcPr>
          <w:p w14:paraId="494BE31E"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Outros Desembolsos Operacionais</w:t>
            </w:r>
          </w:p>
        </w:tc>
        <w:tc>
          <w:tcPr>
            <w:tcW w:w="1984" w:type="dxa"/>
            <w:shd w:val="clear" w:color="auto" w:fill="auto"/>
          </w:tcPr>
          <w:p w14:paraId="7F54C851" w14:textId="456205C6" w:rsidR="00CB2FF5" w:rsidRPr="00F02ABE" w:rsidRDefault="0002400E"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54.060.190,99</w:t>
            </w:r>
          </w:p>
        </w:tc>
        <w:tc>
          <w:tcPr>
            <w:tcW w:w="1985" w:type="dxa"/>
            <w:shd w:val="clear" w:color="auto" w:fill="auto"/>
          </w:tcPr>
          <w:p w14:paraId="7295C422" w14:textId="1207CD3A" w:rsidR="00CB2FF5" w:rsidRPr="00F02ABE" w:rsidRDefault="0002400E"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60.796.368,13</w:t>
            </w:r>
          </w:p>
        </w:tc>
        <w:tc>
          <w:tcPr>
            <w:tcW w:w="1984" w:type="dxa"/>
            <w:shd w:val="clear" w:color="auto" w:fill="auto"/>
            <w:vAlign w:val="center"/>
          </w:tcPr>
          <w:p w14:paraId="76923E2A" w14:textId="43765534" w:rsidR="00CB2FF5" w:rsidRPr="00F02ABE" w:rsidRDefault="00615DC2"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-11,08</w:t>
            </w:r>
          </w:p>
        </w:tc>
        <w:tc>
          <w:tcPr>
            <w:tcW w:w="1560" w:type="dxa"/>
            <w:vAlign w:val="center"/>
          </w:tcPr>
          <w:p w14:paraId="6367CE29" w14:textId="3A7800DE" w:rsidR="00CB2FF5" w:rsidRPr="00F02ABE" w:rsidRDefault="0002070A"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7,65</w:t>
            </w:r>
          </w:p>
        </w:tc>
      </w:tr>
      <w:tr w:rsidR="00CB2FF5" w:rsidRPr="00F02ABE" w14:paraId="407ACDA0" w14:textId="77777777" w:rsidTr="00242CBD">
        <w:tc>
          <w:tcPr>
            <w:tcW w:w="3822" w:type="dxa"/>
            <w:shd w:val="clear" w:color="auto" w:fill="auto"/>
          </w:tcPr>
          <w:p w14:paraId="28EECD35"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TOTAL</w:t>
            </w:r>
          </w:p>
        </w:tc>
        <w:tc>
          <w:tcPr>
            <w:tcW w:w="1984" w:type="dxa"/>
            <w:shd w:val="clear" w:color="auto" w:fill="auto"/>
            <w:vAlign w:val="center"/>
          </w:tcPr>
          <w:p w14:paraId="6C4323DF" w14:textId="70D83E8A" w:rsidR="00CB2FF5" w:rsidRPr="00F02ABE" w:rsidRDefault="001A6E9A" w:rsidP="00242CBD">
            <w:pPr>
              <w:autoSpaceDE w:val="0"/>
              <w:autoSpaceDN w:val="0"/>
              <w:adjustRightInd w:val="0"/>
              <w:spacing w:after="0" w:line="240" w:lineRule="auto"/>
              <w:jc w:val="right"/>
              <w:rPr>
                <w:rFonts w:ascii="Times New Roman" w:hAnsi="Times New Roman"/>
                <w:b/>
                <w:bCs/>
                <w:color w:val="000000"/>
                <w:sz w:val="24"/>
                <w:szCs w:val="24"/>
                <w:lang w:eastAsia="pt-BR"/>
              </w:rPr>
            </w:pPr>
            <w:r>
              <w:rPr>
                <w:rFonts w:ascii="Times New Roman" w:hAnsi="Times New Roman"/>
                <w:b/>
                <w:bCs/>
                <w:color w:val="000000"/>
                <w:sz w:val="24"/>
                <w:szCs w:val="24"/>
                <w:lang w:eastAsia="pt-BR"/>
              </w:rPr>
              <w:t>709.887.264,24</w:t>
            </w:r>
          </w:p>
        </w:tc>
        <w:tc>
          <w:tcPr>
            <w:tcW w:w="1985" w:type="dxa"/>
            <w:shd w:val="clear" w:color="auto" w:fill="auto"/>
            <w:vAlign w:val="center"/>
          </w:tcPr>
          <w:p w14:paraId="66C41600" w14:textId="41B3F21B" w:rsidR="00CB2FF5" w:rsidRPr="00F02ABE" w:rsidRDefault="001A6E9A" w:rsidP="00242CBD">
            <w:pPr>
              <w:spacing w:after="0" w:line="240" w:lineRule="auto"/>
              <w:jc w:val="right"/>
              <w:rPr>
                <w:rFonts w:ascii="Times New Roman" w:hAnsi="Times New Roman"/>
                <w:b/>
                <w:bCs/>
                <w:color w:val="000000"/>
                <w:sz w:val="24"/>
                <w:szCs w:val="24"/>
                <w:lang w:eastAsia="pt-BR"/>
              </w:rPr>
            </w:pPr>
            <w:r>
              <w:rPr>
                <w:rFonts w:ascii="Times New Roman" w:hAnsi="Times New Roman"/>
                <w:b/>
                <w:bCs/>
                <w:color w:val="000000"/>
                <w:sz w:val="24"/>
                <w:szCs w:val="24"/>
                <w:lang w:eastAsia="pt-BR"/>
              </w:rPr>
              <w:t>633.295.917,01</w:t>
            </w:r>
          </w:p>
        </w:tc>
        <w:tc>
          <w:tcPr>
            <w:tcW w:w="1984" w:type="dxa"/>
            <w:shd w:val="clear" w:color="auto" w:fill="auto"/>
          </w:tcPr>
          <w:p w14:paraId="0B8CDEBC" w14:textId="61FE9E84" w:rsidR="00CB2FF5" w:rsidRPr="00F02ABE" w:rsidRDefault="00A95A7A" w:rsidP="00242CBD">
            <w:pPr>
              <w:autoSpaceDE w:val="0"/>
              <w:autoSpaceDN w:val="0"/>
              <w:adjustRightInd w:val="0"/>
              <w:spacing w:after="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12,09</w:t>
            </w:r>
          </w:p>
        </w:tc>
        <w:tc>
          <w:tcPr>
            <w:tcW w:w="1560" w:type="dxa"/>
          </w:tcPr>
          <w:p w14:paraId="364998E1" w14:textId="7FE41789" w:rsidR="00CB2FF5" w:rsidRPr="00F02ABE" w:rsidRDefault="0002070A" w:rsidP="00242CBD">
            <w:pPr>
              <w:autoSpaceDE w:val="0"/>
              <w:autoSpaceDN w:val="0"/>
              <w:adjustRightInd w:val="0"/>
              <w:spacing w:after="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100</w:t>
            </w:r>
          </w:p>
        </w:tc>
      </w:tr>
    </w:tbl>
    <w:p w14:paraId="422F3D74" w14:textId="77777777" w:rsidR="00CB2FF5" w:rsidRPr="006211E0" w:rsidRDefault="00CB2FF5" w:rsidP="00CB2FF5">
      <w:pPr>
        <w:autoSpaceDE w:val="0"/>
        <w:autoSpaceDN w:val="0"/>
        <w:adjustRightInd w:val="0"/>
        <w:spacing w:after="0" w:line="240" w:lineRule="auto"/>
        <w:ind w:left="1701"/>
        <w:jc w:val="both"/>
        <w:rPr>
          <w:rFonts w:ascii="Times New Roman" w:hAnsi="Times New Roman"/>
          <w:sz w:val="20"/>
          <w:szCs w:val="20"/>
        </w:rPr>
      </w:pPr>
      <w:r w:rsidRPr="006211E0">
        <w:rPr>
          <w:rFonts w:ascii="Times New Roman" w:hAnsi="Times New Roman"/>
          <w:sz w:val="20"/>
          <w:szCs w:val="20"/>
        </w:rPr>
        <w:t>Fonte: SIAFI, 2024 e 2023.</w:t>
      </w:r>
    </w:p>
    <w:p w14:paraId="29556C2D"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4D23B671" w14:textId="77777777" w:rsidR="00CB2FF5" w:rsidRPr="00F02ABE"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lastRenderedPageBreak/>
        <w:t xml:space="preserve">O Fluxo de Caixa das Atividades de Investimentos possui valor negativo, pois os Desembolsos superam os valores dos Ingressos, conforme demonstrado na tabela a seguir. Esse fato acontece porque o IFPI não </w:t>
      </w:r>
      <w:r>
        <w:rPr>
          <w:rFonts w:ascii="Times New Roman" w:hAnsi="Times New Roman"/>
          <w:color w:val="000000"/>
          <w:sz w:val="24"/>
          <w:szCs w:val="24"/>
          <w:lang w:eastAsia="pt-BR"/>
        </w:rPr>
        <w:t>realizou alienações de bens, amortização de empréstimos e financiamentos concedidos, e não houve outros ingressos de investimentos no período</w:t>
      </w:r>
      <w:r w:rsidRPr="00F02ABE">
        <w:rPr>
          <w:rFonts w:ascii="Times New Roman" w:hAnsi="Times New Roman"/>
          <w:color w:val="000000"/>
          <w:sz w:val="24"/>
          <w:szCs w:val="24"/>
          <w:lang w:eastAsia="pt-BR"/>
        </w:rPr>
        <w:t>.</w:t>
      </w:r>
    </w:p>
    <w:p w14:paraId="6E1ADA73" w14:textId="77777777" w:rsidR="00CB2FF5" w:rsidRPr="00F02ABE" w:rsidRDefault="00CB2FF5" w:rsidP="00CB2FF5">
      <w:pPr>
        <w:autoSpaceDE w:val="0"/>
        <w:autoSpaceDN w:val="0"/>
        <w:adjustRightInd w:val="0"/>
        <w:spacing w:after="0" w:line="240" w:lineRule="auto"/>
        <w:ind w:left="1701"/>
        <w:jc w:val="both"/>
        <w:rPr>
          <w:rFonts w:ascii="Times New Roman" w:hAnsi="Times New Roman"/>
          <w:color w:val="000000"/>
          <w:sz w:val="24"/>
          <w:szCs w:val="24"/>
          <w:lang w:eastAsia="pt-BR"/>
        </w:rPr>
      </w:pPr>
    </w:p>
    <w:p w14:paraId="173B5FF9" w14:textId="77777777" w:rsidR="00CB2FF5"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r w:rsidRPr="00F02ABE">
        <w:rPr>
          <w:rFonts w:ascii="Times New Roman" w:hAnsi="Times New Roman"/>
          <w:b/>
          <w:bCs/>
          <w:sz w:val="24"/>
          <w:szCs w:val="24"/>
          <w:lang w:eastAsia="pt-BR"/>
        </w:rPr>
        <w:t>Tabela 31 – Resultado dos Fluxos de Caixa das Atividades de Investimentos.</w:t>
      </w:r>
    </w:p>
    <w:p w14:paraId="5BDD800A" w14:textId="77777777" w:rsidR="00CB2FF5" w:rsidRPr="00F02ABE"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5B85DC65" w14:textId="77777777" w:rsidR="00CB2FF5" w:rsidRPr="00F02ABE" w:rsidRDefault="00CB2FF5" w:rsidP="00CB2FF5">
      <w:pPr>
        <w:autoSpaceDE w:val="0"/>
        <w:autoSpaceDN w:val="0"/>
        <w:adjustRightInd w:val="0"/>
        <w:spacing w:after="0" w:line="240" w:lineRule="auto"/>
        <w:jc w:val="right"/>
        <w:rPr>
          <w:rFonts w:ascii="Times New Roman" w:hAnsi="Times New Roman"/>
          <w:bCs/>
          <w:sz w:val="24"/>
          <w:szCs w:val="24"/>
          <w:lang w:eastAsia="pt-BR"/>
        </w:rPr>
      </w:pPr>
      <w:r w:rsidRPr="00F02ABE">
        <w:rPr>
          <w:rFonts w:ascii="Times New Roman" w:hAnsi="Times New Roman"/>
          <w:bCs/>
          <w:sz w:val="24"/>
          <w:szCs w:val="24"/>
          <w:lang w:eastAsia="pt-BR"/>
        </w:rPr>
        <w:t xml:space="preserve">                             </w:t>
      </w:r>
      <w:r>
        <w:rPr>
          <w:rFonts w:ascii="Times New Roman" w:hAnsi="Times New Roman"/>
          <w:bCs/>
          <w:sz w:val="24"/>
          <w:szCs w:val="24"/>
          <w:lang w:eastAsia="pt-BR"/>
        </w:rPr>
        <w:t>R$ 1,00</w:t>
      </w:r>
      <w:r w:rsidRPr="00F02ABE">
        <w:rPr>
          <w:rFonts w:ascii="Times New Roman" w:hAnsi="Times New Roman"/>
          <w:bCs/>
          <w:sz w:val="24"/>
          <w:szCs w:val="24"/>
          <w:lang w:eastAsia="pt-BR"/>
        </w:rPr>
        <w:t xml:space="preserve">                                                                                                                                                                                                                          </w:t>
      </w:r>
      <w:r>
        <w:rPr>
          <w:rFonts w:ascii="Times New Roman" w:hAnsi="Times New Roman"/>
          <w:bCs/>
          <w:sz w:val="24"/>
          <w:szCs w:val="24"/>
          <w:lang w:eastAsia="pt-BR"/>
        </w:rPr>
        <w:t xml:space="preserve"> </w:t>
      </w:r>
    </w:p>
    <w:tbl>
      <w:tblPr>
        <w:tblW w:w="12469"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5"/>
        <w:gridCol w:w="1701"/>
        <w:gridCol w:w="1701"/>
        <w:gridCol w:w="1872"/>
      </w:tblGrid>
      <w:tr w:rsidR="00CB2FF5" w:rsidRPr="00F02ABE" w14:paraId="74D0373E" w14:textId="77777777" w:rsidTr="00242CBD">
        <w:tc>
          <w:tcPr>
            <w:tcW w:w="7195" w:type="dxa"/>
            <w:shd w:val="clear" w:color="auto" w:fill="auto"/>
          </w:tcPr>
          <w:p w14:paraId="3964E396"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FLUXO DE CAIXA DAS ATIVIDADES DE INVESTIMENTOS</w:t>
            </w:r>
          </w:p>
        </w:tc>
        <w:tc>
          <w:tcPr>
            <w:tcW w:w="1701" w:type="dxa"/>
            <w:shd w:val="clear" w:color="auto" w:fill="auto"/>
          </w:tcPr>
          <w:p w14:paraId="6E7BC39C"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4</w:t>
            </w:r>
          </w:p>
        </w:tc>
        <w:tc>
          <w:tcPr>
            <w:tcW w:w="1701" w:type="dxa"/>
            <w:shd w:val="clear" w:color="auto" w:fill="auto"/>
          </w:tcPr>
          <w:p w14:paraId="1D0C3AE0"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3</w:t>
            </w:r>
          </w:p>
        </w:tc>
        <w:tc>
          <w:tcPr>
            <w:tcW w:w="1872" w:type="dxa"/>
            <w:shd w:val="clear" w:color="auto" w:fill="auto"/>
          </w:tcPr>
          <w:p w14:paraId="793B58F2"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AH (%)</w:t>
            </w:r>
          </w:p>
        </w:tc>
      </w:tr>
      <w:tr w:rsidR="00CB2FF5" w:rsidRPr="00F02ABE" w14:paraId="058B10B2" w14:textId="77777777" w:rsidTr="00242CBD">
        <w:tc>
          <w:tcPr>
            <w:tcW w:w="7195" w:type="dxa"/>
            <w:shd w:val="clear" w:color="auto" w:fill="auto"/>
          </w:tcPr>
          <w:p w14:paraId="72E44520"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INGRESSOS</w:t>
            </w:r>
          </w:p>
        </w:tc>
        <w:tc>
          <w:tcPr>
            <w:tcW w:w="1701" w:type="dxa"/>
            <w:shd w:val="clear" w:color="auto" w:fill="auto"/>
            <w:vAlign w:val="center"/>
          </w:tcPr>
          <w:p w14:paraId="3A3CC35A" w14:textId="77777777" w:rsidR="00CB2FF5" w:rsidRPr="00F02ABE" w:rsidRDefault="00CB2FF5" w:rsidP="00242CBD">
            <w:pPr>
              <w:autoSpaceDE w:val="0"/>
              <w:autoSpaceDN w:val="0"/>
              <w:adjustRightInd w:val="0"/>
              <w:spacing w:after="0" w:line="240" w:lineRule="auto"/>
              <w:jc w:val="right"/>
              <w:rPr>
                <w:rFonts w:ascii="Times New Roman" w:hAnsi="Times New Roman"/>
                <w:color w:val="000000"/>
                <w:sz w:val="24"/>
                <w:szCs w:val="24"/>
                <w:lang w:eastAsia="pt-BR"/>
              </w:rPr>
            </w:pPr>
            <w:r w:rsidRPr="00F02ABE">
              <w:rPr>
                <w:rFonts w:ascii="Times New Roman" w:hAnsi="Times New Roman"/>
                <w:color w:val="000000"/>
                <w:sz w:val="24"/>
                <w:szCs w:val="24"/>
                <w:lang w:eastAsia="pt-BR"/>
              </w:rPr>
              <w:t>0,00</w:t>
            </w:r>
          </w:p>
        </w:tc>
        <w:tc>
          <w:tcPr>
            <w:tcW w:w="1701" w:type="dxa"/>
            <w:shd w:val="clear" w:color="auto" w:fill="auto"/>
            <w:vAlign w:val="center"/>
          </w:tcPr>
          <w:p w14:paraId="481F2EBC" w14:textId="77777777" w:rsidR="00CB2FF5" w:rsidRPr="00F02ABE" w:rsidRDefault="00CB2FF5" w:rsidP="00242CBD">
            <w:pPr>
              <w:autoSpaceDE w:val="0"/>
              <w:autoSpaceDN w:val="0"/>
              <w:adjustRightInd w:val="0"/>
              <w:spacing w:after="0" w:line="240" w:lineRule="auto"/>
              <w:jc w:val="center"/>
              <w:rPr>
                <w:rFonts w:ascii="Times New Roman" w:hAnsi="Times New Roman"/>
                <w:color w:val="000000"/>
                <w:sz w:val="24"/>
                <w:szCs w:val="24"/>
                <w:lang w:eastAsia="pt-BR"/>
              </w:rPr>
            </w:pPr>
            <w:r w:rsidRPr="00F02ABE">
              <w:rPr>
                <w:rFonts w:ascii="Times New Roman" w:hAnsi="Times New Roman"/>
                <w:color w:val="000000"/>
                <w:sz w:val="24"/>
                <w:szCs w:val="24"/>
                <w:lang w:eastAsia="pt-BR"/>
              </w:rPr>
              <w:t>0,00</w:t>
            </w:r>
          </w:p>
        </w:tc>
        <w:tc>
          <w:tcPr>
            <w:tcW w:w="1872" w:type="dxa"/>
            <w:shd w:val="clear" w:color="auto" w:fill="auto"/>
            <w:vAlign w:val="center"/>
          </w:tcPr>
          <w:p w14:paraId="6F50B05F" w14:textId="77777777" w:rsidR="00CB2FF5" w:rsidRPr="00F02ABE" w:rsidRDefault="00CB2FF5" w:rsidP="00242CBD">
            <w:pPr>
              <w:autoSpaceDE w:val="0"/>
              <w:autoSpaceDN w:val="0"/>
              <w:adjustRightInd w:val="0"/>
              <w:spacing w:after="0" w:line="240" w:lineRule="auto"/>
              <w:jc w:val="center"/>
              <w:rPr>
                <w:rFonts w:ascii="Times New Roman" w:hAnsi="Times New Roman"/>
                <w:color w:val="000000"/>
                <w:sz w:val="24"/>
                <w:szCs w:val="24"/>
                <w:lang w:eastAsia="pt-BR"/>
              </w:rPr>
            </w:pPr>
            <w:r w:rsidRPr="00F02ABE">
              <w:rPr>
                <w:rFonts w:ascii="Times New Roman" w:hAnsi="Times New Roman"/>
                <w:color w:val="000000"/>
                <w:sz w:val="24"/>
                <w:szCs w:val="24"/>
                <w:lang w:eastAsia="pt-BR"/>
              </w:rPr>
              <w:t>-</w:t>
            </w:r>
          </w:p>
        </w:tc>
      </w:tr>
      <w:tr w:rsidR="00CB2FF5" w:rsidRPr="00F02ABE" w14:paraId="50A7D6C8" w14:textId="77777777" w:rsidTr="00242CBD">
        <w:trPr>
          <w:trHeight w:val="70"/>
        </w:trPr>
        <w:tc>
          <w:tcPr>
            <w:tcW w:w="7195" w:type="dxa"/>
            <w:shd w:val="clear" w:color="auto" w:fill="auto"/>
          </w:tcPr>
          <w:p w14:paraId="430C2A98"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DESEMBOLSOS</w:t>
            </w:r>
          </w:p>
        </w:tc>
        <w:tc>
          <w:tcPr>
            <w:tcW w:w="1701" w:type="dxa"/>
            <w:shd w:val="clear" w:color="auto" w:fill="auto"/>
          </w:tcPr>
          <w:p w14:paraId="44CAF052" w14:textId="7B83EA3D" w:rsidR="00CB2FF5" w:rsidRPr="00F02ABE" w:rsidRDefault="006B2994"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-6.473.139,70</w:t>
            </w:r>
          </w:p>
        </w:tc>
        <w:tc>
          <w:tcPr>
            <w:tcW w:w="1701" w:type="dxa"/>
            <w:shd w:val="clear" w:color="auto" w:fill="auto"/>
          </w:tcPr>
          <w:p w14:paraId="3872513B" w14:textId="315793CD" w:rsidR="00CB2FF5" w:rsidRPr="00F02ABE" w:rsidRDefault="006B2994"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-6.260.631,57</w:t>
            </w:r>
          </w:p>
        </w:tc>
        <w:tc>
          <w:tcPr>
            <w:tcW w:w="1872" w:type="dxa"/>
            <w:shd w:val="clear" w:color="auto" w:fill="auto"/>
            <w:vAlign w:val="center"/>
          </w:tcPr>
          <w:p w14:paraId="14A31D4D" w14:textId="02BCC469" w:rsidR="00CB2FF5" w:rsidRPr="00F02ABE" w:rsidRDefault="00605B26"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3,39</w:t>
            </w:r>
          </w:p>
        </w:tc>
      </w:tr>
      <w:tr w:rsidR="00550C71" w:rsidRPr="00F02ABE" w14:paraId="7AAA1B12" w14:textId="77777777" w:rsidTr="00242CBD">
        <w:tc>
          <w:tcPr>
            <w:tcW w:w="7195" w:type="dxa"/>
            <w:shd w:val="clear" w:color="auto" w:fill="auto"/>
          </w:tcPr>
          <w:p w14:paraId="51E79F41" w14:textId="77777777" w:rsidR="00550C71" w:rsidRPr="00F02ABE" w:rsidRDefault="00550C71" w:rsidP="00550C71">
            <w:pPr>
              <w:autoSpaceDE w:val="0"/>
              <w:autoSpaceDN w:val="0"/>
              <w:adjustRightInd w:val="0"/>
              <w:spacing w:after="0" w:line="240" w:lineRule="auto"/>
              <w:jc w:val="both"/>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TOTAL</w:t>
            </w:r>
          </w:p>
        </w:tc>
        <w:tc>
          <w:tcPr>
            <w:tcW w:w="1701" w:type="dxa"/>
            <w:shd w:val="clear" w:color="auto" w:fill="auto"/>
          </w:tcPr>
          <w:p w14:paraId="3DD57055" w14:textId="4EF10C51" w:rsidR="00550C71" w:rsidRPr="006C442C" w:rsidRDefault="00550C71" w:rsidP="00550C71">
            <w:pPr>
              <w:spacing w:after="0" w:line="240" w:lineRule="auto"/>
              <w:jc w:val="right"/>
              <w:rPr>
                <w:rFonts w:ascii="Times New Roman" w:hAnsi="Times New Roman"/>
                <w:b/>
                <w:bCs/>
                <w:color w:val="000000"/>
                <w:sz w:val="24"/>
                <w:szCs w:val="24"/>
                <w:lang w:eastAsia="pt-BR"/>
              </w:rPr>
            </w:pPr>
            <w:r>
              <w:rPr>
                <w:rFonts w:ascii="Times New Roman" w:hAnsi="Times New Roman"/>
                <w:color w:val="000000"/>
                <w:sz w:val="24"/>
                <w:szCs w:val="24"/>
                <w:lang w:eastAsia="pt-BR"/>
              </w:rPr>
              <w:t>-6.473.139,70</w:t>
            </w:r>
          </w:p>
        </w:tc>
        <w:tc>
          <w:tcPr>
            <w:tcW w:w="1701" w:type="dxa"/>
            <w:shd w:val="clear" w:color="auto" w:fill="auto"/>
          </w:tcPr>
          <w:p w14:paraId="4043400D" w14:textId="107270DF" w:rsidR="00550C71" w:rsidRPr="006C442C" w:rsidRDefault="00550C71" w:rsidP="00550C71">
            <w:pPr>
              <w:spacing w:after="0" w:line="240" w:lineRule="auto"/>
              <w:jc w:val="right"/>
              <w:rPr>
                <w:rFonts w:ascii="Times New Roman" w:hAnsi="Times New Roman"/>
                <w:b/>
                <w:bCs/>
                <w:color w:val="000000"/>
                <w:sz w:val="24"/>
                <w:szCs w:val="24"/>
                <w:lang w:eastAsia="pt-BR"/>
              </w:rPr>
            </w:pPr>
            <w:r>
              <w:rPr>
                <w:rFonts w:ascii="Times New Roman" w:hAnsi="Times New Roman"/>
                <w:color w:val="000000"/>
                <w:sz w:val="24"/>
                <w:szCs w:val="24"/>
                <w:lang w:eastAsia="pt-BR"/>
              </w:rPr>
              <w:t>-6.260.631,57</w:t>
            </w:r>
          </w:p>
        </w:tc>
        <w:tc>
          <w:tcPr>
            <w:tcW w:w="1872" w:type="dxa"/>
            <w:shd w:val="clear" w:color="auto" w:fill="auto"/>
            <w:vAlign w:val="center"/>
          </w:tcPr>
          <w:p w14:paraId="6EFCFE06" w14:textId="7538AE80" w:rsidR="00550C71" w:rsidRPr="006C442C" w:rsidRDefault="00605B26" w:rsidP="00550C71">
            <w:pPr>
              <w:autoSpaceDE w:val="0"/>
              <w:autoSpaceDN w:val="0"/>
              <w:adjustRightInd w:val="0"/>
              <w:spacing w:after="0" w:line="240" w:lineRule="auto"/>
              <w:jc w:val="center"/>
              <w:rPr>
                <w:rFonts w:ascii="Times New Roman" w:hAnsi="Times New Roman"/>
                <w:b/>
                <w:bCs/>
                <w:color w:val="000000"/>
                <w:sz w:val="24"/>
                <w:szCs w:val="24"/>
                <w:lang w:eastAsia="pt-BR"/>
              </w:rPr>
            </w:pPr>
            <w:r>
              <w:rPr>
                <w:rFonts w:ascii="Times New Roman" w:hAnsi="Times New Roman"/>
                <w:b/>
                <w:bCs/>
                <w:color w:val="000000"/>
                <w:sz w:val="24"/>
                <w:szCs w:val="24"/>
                <w:lang w:eastAsia="pt-BR"/>
              </w:rPr>
              <w:t>3,39</w:t>
            </w:r>
          </w:p>
        </w:tc>
      </w:tr>
    </w:tbl>
    <w:p w14:paraId="6ADD7B25" w14:textId="77777777" w:rsidR="00CB2FF5" w:rsidRPr="00002CF9" w:rsidRDefault="00CB2FF5" w:rsidP="00CB2FF5">
      <w:pPr>
        <w:autoSpaceDE w:val="0"/>
        <w:autoSpaceDN w:val="0"/>
        <w:adjustRightInd w:val="0"/>
        <w:spacing w:after="0" w:line="240" w:lineRule="auto"/>
        <w:ind w:left="1560"/>
        <w:jc w:val="both"/>
        <w:rPr>
          <w:rFonts w:ascii="Times New Roman" w:hAnsi="Times New Roman"/>
          <w:sz w:val="20"/>
          <w:szCs w:val="20"/>
        </w:rPr>
      </w:pPr>
      <w:r w:rsidRPr="00002CF9">
        <w:rPr>
          <w:rFonts w:ascii="Times New Roman" w:hAnsi="Times New Roman"/>
          <w:sz w:val="20"/>
          <w:szCs w:val="20"/>
        </w:rPr>
        <w:t>Fonte: SIAFI, 202</w:t>
      </w:r>
      <w:r>
        <w:rPr>
          <w:rFonts w:ascii="Times New Roman" w:hAnsi="Times New Roman"/>
          <w:sz w:val="20"/>
          <w:szCs w:val="20"/>
        </w:rPr>
        <w:t>4</w:t>
      </w:r>
      <w:r w:rsidRPr="00002CF9">
        <w:rPr>
          <w:rFonts w:ascii="Times New Roman" w:hAnsi="Times New Roman"/>
          <w:sz w:val="20"/>
          <w:szCs w:val="20"/>
        </w:rPr>
        <w:t xml:space="preserve"> e 202</w:t>
      </w:r>
      <w:r>
        <w:rPr>
          <w:rFonts w:ascii="Times New Roman" w:hAnsi="Times New Roman"/>
          <w:sz w:val="20"/>
          <w:szCs w:val="20"/>
        </w:rPr>
        <w:t>3</w:t>
      </w:r>
      <w:r w:rsidRPr="00002CF9">
        <w:rPr>
          <w:rFonts w:ascii="Times New Roman" w:hAnsi="Times New Roman"/>
          <w:sz w:val="20"/>
          <w:szCs w:val="20"/>
        </w:rPr>
        <w:t>.</w:t>
      </w:r>
    </w:p>
    <w:p w14:paraId="4DCA3326" w14:textId="77777777" w:rsidR="00CB2FF5" w:rsidRPr="00F02ABE"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61192A9E" w14:textId="51F33200" w:rsidR="00CB2FF5" w:rsidRPr="00F02ABE" w:rsidRDefault="00CB2FF5" w:rsidP="00CB2FF5">
      <w:pPr>
        <w:autoSpaceDE w:val="0"/>
        <w:autoSpaceDN w:val="0"/>
        <w:adjustRightInd w:val="0"/>
        <w:spacing w:after="0" w:line="240" w:lineRule="auto"/>
        <w:ind w:left="1560"/>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A Geração Líquida de Caixa e Equivalentes de Caixa apresentou um valor </w:t>
      </w:r>
      <w:r w:rsidR="00FD6D5D">
        <w:rPr>
          <w:rFonts w:ascii="Times New Roman" w:hAnsi="Times New Roman"/>
          <w:color w:val="000000"/>
          <w:sz w:val="24"/>
          <w:szCs w:val="24"/>
          <w:lang w:eastAsia="pt-BR"/>
        </w:rPr>
        <w:t xml:space="preserve">positivo </w:t>
      </w:r>
      <w:r>
        <w:rPr>
          <w:rFonts w:ascii="Times New Roman" w:hAnsi="Times New Roman"/>
          <w:color w:val="000000"/>
          <w:sz w:val="24"/>
          <w:szCs w:val="24"/>
          <w:lang w:eastAsia="pt-BR"/>
        </w:rPr>
        <w:t xml:space="preserve">de </w:t>
      </w:r>
      <w:r w:rsidRPr="007F6A19">
        <w:rPr>
          <w:rFonts w:ascii="Times New Roman" w:hAnsi="Times New Roman"/>
          <w:b/>
          <w:bCs/>
          <w:color w:val="000000"/>
          <w:sz w:val="24"/>
          <w:szCs w:val="24"/>
          <w:lang w:eastAsia="pt-BR"/>
        </w:rPr>
        <w:t xml:space="preserve">R$ </w:t>
      </w:r>
      <w:r w:rsidR="00FD6D5D">
        <w:rPr>
          <w:rFonts w:ascii="Times New Roman" w:hAnsi="Times New Roman"/>
          <w:b/>
          <w:bCs/>
          <w:color w:val="000000"/>
          <w:sz w:val="24"/>
          <w:szCs w:val="24"/>
          <w:lang w:eastAsia="pt-BR"/>
        </w:rPr>
        <w:t>436.042,06</w:t>
      </w:r>
      <w:r>
        <w:rPr>
          <w:rFonts w:ascii="Times New Roman" w:hAnsi="Times New Roman"/>
          <w:b/>
          <w:bCs/>
          <w:color w:val="000000"/>
          <w:sz w:val="24"/>
          <w:szCs w:val="24"/>
          <w:lang w:eastAsia="pt-BR"/>
        </w:rPr>
        <w:t xml:space="preserve"> </w:t>
      </w:r>
      <w:r w:rsidRPr="00630602">
        <w:rPr>
          <w:rFonts w:ascii="Times New Roman" w:hAnsi="Times New Roman"/>
          <w:color w:val="000000"/>
          <w:sz w:val="24"/>
          <w:szCs w:val="24"/>
          <w:lang w:eastAsia="pt-BR"/>
        </w:rPr>
        <w:t>em</w:t>
      </w:r>
      <w:r>
        <w:rPr>
          <w:rFonts w:ascii="Times New Roman" w:hAnsi="Times New Roman"/>
          <w:b/>
          <w:bCs/>
          <w:color w:val="000000"/>
          <w:sz w:val="24"/>
          <w:szCs w:val="24"/>
          <w:lang w:eastAsia="pt-BR"/>
        </w:rPr>
        <w:t xml:space="preserve"> </w:t>
      </w:r>
      <w:r w:rsidRPr="00F02ABE">
        <w:rPr>
          <w:rFonts w:ascii="Times New Roman" w:hAnsi="Times New Roman"/>
          <w:color w:val="000000"/>
          <w:sz w:val="24"/>
          <w:szCs w:val="24"/>
          <w:lang w:eastAsia="pt-BR"/>
        </w:rPr>
        <w:t xml:space="preserve">virtude do valor do Caixa e Equivalentes de Caixa Final ser </w:t>
      </w:r>
      <w:r>
        <w:rPr>
          <w:rFonts w:ascii="Times New Roman" w:hAnsi="Times New Roman"/>
          <w:color w:val="000000"/>
          <w:sz w:val="24"/>
          <w:szCs w:val="24"/>
          <w:lang w:eastAsia="pt-BR"/>
        </w:rPr>
        <w:t xml:space="preserve">superior </w:t>
      </w:r>
      <w:r w:rsidRPr="00F02ABE">
        <w:rPr>
          <w:rFonts w:ascii="Times New Roman" w:hAnsi="Times New Roman"/>
          <w:color w:val="000000"/>
          <w:sz w:val="24"/>
          <w:szCs w:val="24"/>
          <w:lang w:eastAsia="pt-BR"/>
        </w:rPr>
        <w:t>ao Inicial, conforme tabela apresentada a seguir.</w:t>
      </w:r>
    </w:p>
    <w:p w14:paraId="1D84EC3B" w14:textId="77777777" w:rsidR="00CB2FF5" w:rsidRPr="00F02ABE"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0F675E71" w14:textId="77777777" w:rsidR="00CB2FF5" w:rsidRDefault="00CB2FF5" w:rsidP="00CB2FF5">
      <w:pPr>
        <w:autoSpaceDE w:val="0"/>
        <w:autoSpaceDN w:val="0"/>
        <w:adjustRightInd w:val="0"/>
        <w:spacing w:after="0" w:line="240" w:lineRule="auto"/>
        <w:ind w:left="1560"/>
        <w:jc w:val="both"/>
        <w:rPr>
          <w:rFonts w:ascii="Times New Roman" w:hAnsi="Times New Roman"/>
          <w:b/>
          <w:color w:val="000000"/>
          <w:sz w:val="24"/>
          <w:szCs w:val="24"/>
          <w:lang w:eastAsia="pt-BR"/>
        </w:rPr>
      </w:pPr>
      <w:r w:rsidRPr="00F02ABE">
        <w:rPr>
          <w:rFonts w:ascii="Times New Roman" w:hAnsi="Times New Roman"/>
          <w:b/>
          <w:bCs/>
          <w:sz w:val="24"/>
          <w:szCs w:val="24"/>
          <w:lang w:eastAsia="pt-BR"/>
        </w:rPr>
        <w:t xml:space="preserve">Tabela 32 - </w:t>
      </w:r>
      <w:r w:rsidRPr="00F02ABE">
        <w:rPr>
          <w:rFonts w:ascii="Times New Roman" w:hAnsi="Times New Roman"/>
          <w:b/>
          <w:color w:val="000000"/>
          <w:sz w:val="24"/>
          <w:szCs w:val="24"/>
          <w:lang w:eastAsia="pt-BR"/>
        </w:rPr>
        <w:t>Geração Líquida de Caixa e Equivalentes de Caixa</w:t>
      </w:r>
    </w:p>
    <w:p w14:paraId="0B9EC1B6" w14:textId="77777777" w:rsidR="00CB2FF5" w:rsidRPr="00F02ABE" w:rsidRDefault="00CB2FF5" w:rsidP="00CB2FF5">
      <w:pPr>
        <w:autoSpaceDE w:val="0"/>
        <w:autoSpaceDN w:val="0"/>
        <w:adjustRightInd w:val="0"/>
        <w:spacing w:after="0" w:line="240" w:lineRule="auto"/>
        <w:ind w:left="1560"/>
        <w:jc w:val="both"/>
        <w:rPr>
          <w:rFonts w:ascii="Times New Roman" w:hAnsi="Times New Roman"/>
          <w:b/>
          <w:bCs/>
          <w:sz w:val="24"/>
          <w:szCs w:val="24"/>
          <w:lang w:eastAsia="pt-BR"/>
        </w:rPr>
      </w:pPr>
    </w:p>
    <w:p w14:paraId="647A207B" w14:textId="77777777" w:rsidR="00CB2FF5" w:rsidRPr="00F02ABE" w:rsidRDefault="00CB2FF5" w:rsidP="00CB2FF5">
      <w:pPr>
        <w:autoSpaceDE w:val="0"/>
        <w:autoSpaceDN w:val="0"/>
        <w:adjustRightInd w:val="0"/>
        <w:spacing w:after="0" w:line="240" w:lineRule="auto"/>
        <w:ind w:left="1701"/>
        <w:jc w:val="right"/>
        <w:rPr>
          <w:rFonts w:ascii="Times New Roman" w:hAnsi="Times New Roman"/>
          <w:sz w:val="24"/>
          <w:szCs w:val="24"/>
        </w:rPr>
      </w:pPr>
      <w:r>
        <w:rPr>
          <w:rFonts w:ascii="Times New Roman" w:hAnsi="Times New Roman"/>
          <w:sz w:val="24"/>
          <w:szCs w:val="24"/>
        </w:rPr>
        <w:t xml:space="preserve">                                                                                                                                                                                         R$1,00</w:t>
      </w:r>
      <w:r w:rsidRPr="00F02ABE">
        <w:rPr>
          <w:rFonts w:ascii="Times New Roman" w:hAnsi="Times New Roman"/>
          <w:sz w:val="24"/>
          <w:szCs w:val="24"/>
        </w:rPr>
        <w:t xml:space="preserve">                                                                                                                                                                                                                                                             </w:t>
      </w:r>
    </w:p>
    <w:tbl>
      <w:tblPr>
        <w:tblW w:w="12469"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5"/>
        <w:gridCol w:w="1733"/>
        <w:gridCol w:w="1701"/>
        <w:gridCol w:w="1730"/>
      </w:tblGrid>
      <w:tr w:rsidR="00CB2FF5" w:rsidRPr="00F02ABE" w14:paraId="5304FF5F" w14:textId="77777777" w:rsidTr="00242CBD">
        <w:tc>
          <w:tcPr>
            <w:tcW w:w="7305" w:type="dxa"/>
            <w:vMerge w:val="restart"/>
            <w:shd w:val="clear" w:color="auto" w:fill="auto"/>
            <w:vAlign w:val="center"/>
          </w:tcPr>
          <w:p w14:paraId="3C3D05D2" w14:textId="77777777" w:rsidR="00CB2FF5" w:rsidRPr="00F02ABE" w:rsidRDefault="00CB2FF5" w:rsidP="00242CBD">
            <w:pPr>
              <w:autoSpaceDE w:val="0"/>
              <w:autoSpaceDN w:val="0"/>
              <w:adjustRightInd w:val="0"/>
              <w:spacing w:after="0" w:line="240" w:lineRule="auto"/>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GERAÇÃO LÍQUIDA DE CAIXA E EQUIVALENTES DE CAIXA</w:t>
            </w:r>
          </w:p>
        </w:tc>
        <w:tc>
          <w:tcPr>
            <w:tcW w:w="1733" w:type="dxa"/>
            <w:shd w:val="clear" w:color="auto" w:fill="auto"/>
          </w:tcPr>
          <w:p w14:paraId="0C151BCA"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4</w:t>
            </w:r>
          </w:p>
        </w:tc>
        <w:tc>
          <w:tcPr>
            <w:tcW w:w="1701" w:type="dxa"/>
            <w:shd w:val="clear" w:color="auto" w:fill="auto"/>
          </w:tcPr>
          <w:p w14:paraId="20D7C756"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202</w:t>
            </w:r>
            <w:r>
              <w:rPr>
                <w:rFonts w:ascii="Times New Roman" w:hAnsi="Times New Roman"/>
                <w:b/>
                <w:color w:val="000000"/>
                <w:sz w:val="24"/>
                <w:szCs w:val="24"/>
                <w:lang w:eastAsia="pt-BR"/>
              </w:rPr>
              <w:t>3</w:t>
            </w:r>
          </w:p>
        </w:tc>
        <w:tc>
          <w:tcPr>
            <w:tcW w:w="1730" w:type="dxa"/>
            <w:shd w:val="clear" w:color="auto" w:fill="auto"/>
          </w:tcPr>
          <w:p w14:paraId="1106F581" w14:textId="77777777" w:rsidR="00CB2FF5" w:rsidRPr="00F02ABE" w:rsidRDefault="00CB2FF5" w:rsidP="00242CBD">
            <w:pPr>
              <w:autoSpaceDE w:val="0"/>
              <w:autoSpaceDN w:val="0"/>
              <w:adjustRightInd w:val="0"/>
              <w:spacing w:after="0" w:line="240" w:lineRule="auto"/>
              <w:jc w:val="center"/>
              <w:rPr>
                <w:rFonts w:ascii="Times New Roman" w:hAnsi="Times New Roman"/>
                <w:b/>
                <w:color w:val="000000"/>
                <w:sz w:val="24"/>
                <w:szCs w:val="24"/>
                <w:lang w:eastAsia="pt-BR"/>
              </w:rPr>
            </w:pPr>
            <w:r w:rsidRPr="00F02ABE">
              <w:rPr>
                <w:rFonts w:ascii="Times New Roman" w:hAnsi="Times New Roman"/>
                <w:b/>
                <w:color w:val="000000"/>
                <w:sz w:val="24"/>
                <w:szCs w:val="24"/>
                <w:lang w:eastAsia="pt-BR"/>
              </w:rPr>
              <w:t>AH (%)</w:t>
            </w:r>
          </w:p>
        </w:tc>
      </w:tr>
      <w:tr w:rsidR="00CB2FF5" w:rsidRPr="00F02ABE" w14:paraId="4255345D" w14:textId="77777777" w:rsidTr="00242CBD">
        <w:tc>
          <w:tcPr>
            <w:tcW w:w="7305" w:type="dxa"/>
            <w:vMerge/>
            <w:shd w:val="clear" w:color="auto" w:fill="auto"/>
          </w:tcPr>
          <w:p w14:paraId="01C5D17B" w14:textId="77777777" w:rsidR="00CB2FF5" w:rsidRPr="00F02ABE" w:rsidRDefault="00CB2FF5" w:rsidP="00242CBD">
            <w:pPr>
              <w:autoSpaceDE w:val="0"/>
              <w:autoSpaceDN w:val="0"/>
              <w:adjustRightInd w:val="0"/>
              <w:spacing w:after="0" w:line="240" w:lineRule="auto"/>
              <w:jc w:val="both"/>
              <w:rPr>
                <w:rFonts w:ascii="Times New Roman" w:hAnsi="Times New Roman"/>
                <w:b/>
                <w:color w:val="000000"/>
                <w:sz w:val="24"/>
                <w:szCs w:val="24"/>
                <w:lang w:eastAsia="pt-BR"/>
              </w:rPr>
            </w:pPr>
          </w:p>
        </w:tc>
        <w:tc>
          <w:tcPr>
            <w:tcW w:w="1733" w:type="dxa"/>
            <w:shd w:val="clear" w:color="auto" w:fill="auto"/>
          </w:tcPr>
          <w:p w14:paraId="1D0219BA" w14:textId="0568B1F0" w:rsidR="00CB2FF5" w:rsidRPr="00F02ABE" w:rsidRDefault="0072740C" w:rsidP="00242CBD">
            <w:pPr>
              <w:spacing w:after="0" w:line="240" w:lineRule="auto"/>
              <w:jc w:val="right"/>
              <w:rPr>
                <w:rFonts w:ascii="Times New Roman" w:hAnsi="Times New Roman"/>
                <w:b/>
                <w:bCs/>
                <w:color w:val="000000"/>
                <w:sz w:val="24"/>
                <w:szCs w:val="24"/>
                <w:lang w:eastAsia="pt-BR"/>
              </w:rPr>
            </w:pPr>
            <w:r>
              <w:rPr>
                <w:rFonts w:ascii="Times New Roman" w:hAnsi="Times New Roman"/>
                <w:b/>
                <w:bCs/>
                <w:color w:val="000000"/>
                <w:sz w:val="24"/>
                <w:szCs w:val="24"/>
                <w:lang w:eastAsia="pt-BR"/>
              </w:rPr>
              <w:t>436.042,06</w:t>
            </w:r>
          </w:p>
        </w:tc>
        <w:tc>
          <w:tcPr>
            <w:tcW w:w="1701" w:type="dxa"/>
            <w:shd w:val="clear" w:color="auto" w:fill="auto"/>
          </w:tcPr>
          <w:p w14:paraId="74A1B755" w14:textId="7469668A" w:rsidR="00CB2FF5" w:rsidRPr="00F02ABE" w:rsidRDefault="0072740C" w:rsidP="00242CBD">
            <w:pPr>
              <w:spacing w:after="0" w:line="240" w:lineRule="auto"/>
              <w:jc w:val="right"/>
              <w:rPr>
                <w:rFonts w:ascii="Times New Roman" w:hAnsi="Times New Roman"/>
                <w:b/>
                <w:bCs/>
                <w:color w:val="000000"/>
                <w:sz w:val="24"/>
                <w:szCs w:val="24"/>
                <w:lang w:eastAsia="pt-BR"/>
              </w:rPr>
            </w:pPr>
            <w:r>
              <w:rPr>
                <w:rFonts w:ascii="Times New Roman" w:hAnsi="Times New Roman"/>
                <w:b/>
                <w:bCs/>
                <w:color w:val="000000"/>
                <w:sz w:val="24"/>
                <w:szCs w:val="24"/>
                <w:lang w:eastAsia="pt-BR"/>
              </w:rPr>
              <w:t>5.927.395,65</w:t>
            </w:r>
          </w:p>
        </w:tc>
        <w:tc>
          <w:tcPr>
            <w:tcW w:w="1730" w:type="dxa"/>
            <w:shd w:val="clear" w:color="auto" w:fill="auto"/>
          </w:tcPr>
          <w:p w14:paraId="7B0322A6" w14:textId="0C12821A" w:rsidR="00CB2FF5" w:rsidRPr="00F02ABE" w:rsidRDefault="00855766" w:rsidP="00242CBD">
            <w:pPr>
              <w:autoSpaceDE w:val="0"/>
              <w:autoSpaceDN w:val="0"/>
              <w:adjustRightInd w:val="0"/>
              <w:spacing w:after="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-92,64</w:t>
            </w:r>
          </w:p>
        </w:tc>
      </w:tr>
      <w:tr w:rsidR="00CB2FF5" w:rsidRPr="00F02ABE" w14:paraId="79760065" w14:textId="77777777" w:rsidTr="00242CBD">
        <w:tc>
          <w:tcPr>
            <w:tcW w:w="7305" w:type="dxa"/>
            <w:shd w:val="clear" w:color="auto" w:fill="auto"/>
          </w:tcPr>
          <w:p w14:paraId="59C6A994"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CAIXA E EQUIVALENTES DE </w:t>
            </w:r>
            <w:r w:rsidRPr="00F02ABE">
              <w:rPr>
                <w:rFonts w:ascii="Times New Roman" w:hAnsi="Times New Roman"/>
                <w:b/>
                <w:color w:val="000000"/>
                <w:sz w:val="24"/>
                <w:szCs w:val="24"/>
                <w:lang w:eastAsia="pt-BR"/>
              </w:rPr>
              <w:t>CAIXA INICIAL</w:t>
            </w:r>
          </w:p>
        </w:tc>
        <w:tc>
          <w:tcPr>
            <w:tcW w:w="1733" w:type="dxa"/>
            <w:shd w:val="clear" w:color="auto" w:fill="auto"/>
          </w:tcPr>
          <w:p w14:paraId="35646BC8" w14:textId="393E5103" w:rsidR="00CB2FF5" w:rsidRPr="00F02ABE" w:rsidRDefault="003D1F33"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47.516.193,58</w:t>
            </w:r>
          </w:p>
        </w:tc>
        <w:tc>
          <w:tcPr>
            <w:tcW w:w="1701" w:type="dxa"/>
            <w:shd w:val="clear" w:color="auto" w:fill="auto"/>
          </w:tcPr>
          <w:p w14:paraId="6887A967" w14:textId="6AB5CD9B" w:rsidR="00CB2FF5" w:rsidRPr="00F02ABE" w:rsidRDefault="003D1F33"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41.588.797,93</w:t>
            </w:r>
          </w:p>
        </w:tc>
        <w:tc>
          <w:tcPr>
            <w:tcW w:w="1730" w:type="dxa"/>
            <w:shd w:val="clear" w:color="auto" w:fill="auto"/>
          </w:tcPr>
          <w:p w14:paraId="377AB4C7" w14:textId="40C561F0" w:rsidR="00CB2FF5" w:rsidRPr="00F02ABE" w:rsidRDefault="00C16C7A"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14,25</w:t>
            </w:r>
          </w:p>
        </w:tc>
      </w:tr>
      <w:tr w:rsidR="00CB2FF5" w:rsidRPr="00F02ABE" w14:paraId="38BAFA21" w14:textId="77777777" w:rsidTr="00242CBD">
        <w:tc>
          <w:tcPr>
            <w:tcW w:w="7305" w:type="dxa"/>
            <w:shd w:val="clear" w:color="auto" w:fill="auto"/>
          </w:tcPr>
          <w:p w14:paraId="3EFA152F" w14:textId="77777777" w:rsidR="00CB2FF5" w:rsidRPr="00F02ABE" w:rsidRDefault="00CB2FF5" w:rsidP="00242CBD">
            <w:pPr>
              <w:autoSpaceDE w:val="0"/>
              <w:autoSpaceDN w:val="0"/>
              <w:adjustRightInd w:val="0"/>
              <w:spacing w:after="0" w:line="240" w:lineRule="auto"/>
              <w:jc w:val="both"/>
              <w:rPr>
                <w:rFonts w:ascii="Times New Roman" w:hAnsi="Times New Roman"/>
                <w:color w:val="000000"/>
                <w:sz w:val="24"/>
                <w:szCs w:val="24"/>
                <w:lang w:eastAsia="pt-BR"/>
              </w:rPr>
            </w:pPr>
            <w:r w:rsidRPr="00F02ABE">
              <w:rPr>
                <w:rFonts w:ascii="Times New Roman" w:hAnsi="Times New Roman"/>
                <w:color w:val="000000"/>
                <w:sz w:val="24"/>
                <w:szCs w:val="24"/>
                <w:lang w:eastAsia="pt-BR"/>
              </w:rPr>
              <w:t xml:space="preserve">CAIXA E EQUIVALENTES DE </w:t>
            </w:r>
            <w:r w:rsidRPr="00F02ABE">
              <w:rPr>
                <w:rFonts w:ascii="Times New Roman" w:hAnsi="Times New Roman"/>
                <w:b/>
                <w:color w:val="000000"/>
                <w:sz w:val="24"/>
                <w:szCs w:val="24"/>
                <w:lang w:eastAsia="pt-BR"/>
              </w:rPr>
              <w:t>CAIXA FINAL</w:t>
            </w:r>
          </w:p>
        </w:tc>
        <w:tc>
          <w:tcPr>
            <w:tcW w:w="1733" w:type="dxa"/>
            <w:shd w:val="clear" w:color="auto" w:fill="auto"/>
          </w:tcPr>
          <w:p w14:paraId="1B0B7488" w14:textId="746DA4AC" w:rsidR="00CB2FF5" w:rsidRPr="00F02ABE" w:rsidRDefault="00C86BA0"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47.952.235,64</w:t>
            </w:r>
          </w:p>
        </w:tc>
        <w:tc>
          <w:tcPr>
            <w:tcW w:w="1701" w:type="dxa"/>
            <w:shd w:val="clear" w:color="auto" w:fill="auto"/>
          </w:tcPr>
          <w:p w14:paraId="218251AF" w14:textId="2EFD918E" w:rsidR="00CB2FF5" w:rsidRPr="00F02ABE" w:rsidRDefault="00C86BA0" w:rsidP="00242CBD">
            <w:pPr>
              <w:spacing w:after="0" w:line="240" w:lineRule="auto"/>
              <w:jc w:val="right"/>
              <w:rPr>
                <w:rFonts w:ascii="Times New Roman" w:hAnsi="Times New Roman"/>
                <w:color w:val="000000"/>
                <w:sz w:val="24"/>
                <w:szCs w:val="24"/>
                <w:lang w:eastAsia="pt-BR"/>
              </w:rPr>
            </w:pPr>
            <w:r>
              <w:rPr>
                <w:rFonts w:ascii="Times New Roman" w:hAnsi="Times New Roman"/>
                <w:color w:val="000000"/>
                <w:sz w:val="24"/>
                <w:szCs w:val="24"/>
                <w:lang w:eastAsia="pt-BR"/>
              </w:rPr>
              <w:t>47.516.193,58</w:t>
            </w:r>
          </w:p>
        </w:tc>
        <w:tc>
          <w:tcPr>
            <w:tcW w:w="1730" w:type="dxa"/>
            <w:shd w:val="clear" w:color="auto" w:fill="auto"/>
          </w:tcPr>
          <w:p w14:paraId="1F847CF8" w14:textId="0EA22CDC" w:rsidR="00CB2FF5" w:rsidRPr="00F02ABE" w:rsidRDefault="007E66D6" w:rsidP="00242CBD">
            <w:pPr>
              <w:autoSpaceDE w:val="0"/>
              <w:autoSpaceDN w:val="0"/>
              <w:adjustRightInd w:val="0"/>
              <w:spacing w:after="0" w:line="240" w:lineRule="auto"/>
              <w:jc w:val="center"/>
              <w:rPr>
                <w:rFonts w:ascii="Times New Roman" w:hAnsi="Times New Roman"/>
                <w:color w:val="000000"/>
                <w:sz w:val="24"/>
                <w:szCs w:val="24"/>
                <w:lang w:eastAsia="pt-BR"/>
              </w:rPr>
            </w:pPr>
            <w:r>
              <w:rPr>
                <w:rFonts w:ascii="Times New Roman" w:hAnsi="Times New Roman"/>
                <w:color w:val="000000"/>
                <w:sz w:val="24"/>
                <w:szCs w:val="24"/>
                <w:lang w:eastAsia="pt-BR"/>
              </w:rPr>
              <w:t>0,92</w:t>
            </w:r>
          </w:p>
        </w:tc>
      </w:tr>
    </w:tbl>
    <w:p w14:paraId="781A9B20"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rPr>
      </w:pPr>
      <w:r w:rsidRPr="00754B68">
        <w:rPr>
          <w:rFonts w:ascii="Times New Roman" w:hAnsi="Times New Roman"/>
          <w:sz w:val="20"/>
          <w:szCs w:val="20"/>
        </w:rPr>
        <w:t>Fonte: SIAFI, 2024 e 2023</w:t>
      </w:r>
      <w:r w:rsidRPr="00F02ABE">
        <w:rPr>
          <w:rFonts w:ascii="Times New Roman" w:hAnsi="Times New Roman"/>
          <w:sz w:val="24"/>
          <w:szCs w:val="24"/>
        </w:rPr>
        <w:t>.</w:t>
      </w:r>
    </w:p>
    <w:p w14:paraId="2FBE2458" w14:textId="77777777" w:rsidR="00CB2FF5" w:rsidRPr="00F02ABE" w:rsidRDefault="00CB2FF5" w:rsidP="00CB2FF5">
      <w:pPr>
        <w:autoSpaceDE w:val="0"/>
        <w:autoSpaceDN w:val="0"/>
        <w:adjustRightInd w:val="0"/>
        <w:spacing w:after="0" w:line="240" w:lineRule="auto"/>
        <w:ind w:left="1701"/>
        <w:jc w:val="both"/>
        <w:rPr>
          <w:rFonts w:ascii="Times New Roman" w:hAnsi="Times New Roman"/>
          <w:sz w:val="24"/>
          <w:szCs w:val="24"/>
        </w:rPr>
      </w:pPr>
    </w:p>
    <w:p w14:paraId="0356D78C" w14:textId="77777777" w:rsidR="00A52233" w:rsidRDefault="00A52233"/>
    <w:sectPr w:rsidR="00A52233" w:rsidSect="00373B18">
      <w:footerReference w:type="default" r:id="rId12"/>
      <w:pgSz w:w="16838" w:h="11906" w:orient="landscape"/>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ADA2F" w14:textId="77777777" w:rsidR="00C30D82" w:rsidRDefault="00C30D82">
      <w:pPr>
        <w:spacing w:after="0" w:line="240" w:lineRule="auto"/>
      </w:pPr>
      <w:r>
        <w:separator/>
      </w:r>
    </w:p>
  </w:endnote>
  <w:endnote w:type="continuationSeparator" w:id="0">
    <w:p w14:paraId="53D44975" w14:textId="77777777" w:rsidR="00C30D82" w:rsidRDefault="00C3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F8A2A" w14:textId="77777777" w:rsidR="00361D72" w:rsidRDefault="00CB2FF5">
    <w:pPr>
      <w:pStyle w:val="Rodap"/>
      <w:jc w:val="right"/>
    </w:pPr>
    <w:r>
      <w:fldChar w:fldCharType="begin"/>
    </w:r>
    <w:r>
      <w:instrText>PAGE   \* MERGEFORMAT</w:instrText>
    </w:r>
    <w:r>
      <w:fldChar w:fldCharType="separate"/>
    </w:r>
    <w:r>
      <w:t>2</w:t>
    </w:r>
    <w:r>
      <w:fldChar w:fldCharType="end"/>
    </w:r>
  </w:p>
  <w:p w14:paraId="19244886" w14:textId="77777777" w:rsidR="00361D72" w:rsidRDefault="00361D72">
    <w:pPr>
      <w:pStyle w:val="Rodap"/>
    </w:pPr>
  </w:p>
  <w:p w14:paraId="1FFEF94D" w14:textId="77777777" w:rsidR="00361D72" w:rsidRDefault="00361D72"/>
  <w:p w14:paraId="13AEB06E" w14:textId="77777777" w:rsidR="00361D72" w:rsidRDefault="00361D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CE5C8" w14:textId="77777777" w:rsidR="00C30D82" w:rsidRDefault="00C30D82">
      <w:pPr>
        <w:spacing w:after="0" w:line="240" w:lineRule="auto"/>
      </w:pPr>
      <w:r>
        <w:separator/>
      </w:r>
    </w:p>
  </w:footnote>
  <w:footnote w:type="continuationSeparator" w:id="0">
    <w:p w14:paraId="4F98F924" w14:textId="77777777" w:rsidR="00C30D82" w:rsidRDefault="00C30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63E9F"/>
    <w:multiLevelType w:val="hybridMultilevel"/>
    <w:tmpl w:val="9B0827A6"/>
    <w:lvl w:ilvl="0" w:tplc="1EA85282">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 w15:restartNumberingAfterBreak="0">
    <w:nsid w:val="298A5B87"/>
    <w:multiLevelType w:val="multilevel"/>
    <w:tmpl w:val="F9864C3A"/>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 w15:restartNumberingAfterBreak="0">
    <w:nsid w:val="3CF94C6C"/>
    <w:multiLevelType w:val="hybridMultilevel"/>
    <w:tmpl w:val="60787590"/>
    <w:lvl w:ilvl="0" w:tplc="746E08C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557375E9"/>
    <w:multiLevelType w:val="multilevel"/>
    <w:tmpl w:val="603AEDD0"/>
    <w:lvl w:ilvl="0">
      <w:start w:val="7"/>
      <w:numFmt w:val="decimal"/>
      <w:lvlText w:val="%1"/>
      <w:lvlJc w:val="left"/>
      <w:pPr>
        <w:ind w:left="480" w:hanging="480"/>
      </w:pPr>
      <w:rPr>
        <w:rFonts w:hint="default"/>
        <w:b/>
      </w:rPr>
    </w:lvl>
    <w:lvl w:ilvl="1">
      <w:start w:val="2"/>
      <w:numFmt w:val="decimal"/>
      <w:lvlText w:val="%1.%2"/>
      <w:lvlJc w:val="left"/>
      <w:pPr>
        <w:ind w:left="1330" w:hanging="480"/>
      </w:pPr>
      <w:rPr>
        <w:rFonts w:hint="default"/>
        <w:b/>
      </w:rPr>
    </w:lvl>
    <w:lvl w:ilvl="2">
      <w:start w:val="1"/>
      <w:numFmt w:val="decimal"/>
      <w:lvlText w:val="%1.%2.%3"/>
      <w:lvlJc w:val="left"/>
      <w:pPr>
        <w:ind w:left="2420" w:hanging="720"/>
      </w:pPr>
      <w:rPr>
        <w:rFonts w:hint="default"/>
        <w:b/>
      </w:rPr>
    </w:lvl>
    <w:lvl w:ilvl="3">
      <w:start w:val="1"/>
      <w:numFmt w:val="decimal"/>
      <w:lvlText w:val="%1.%2.%3.%4"/>
      <w:lvlJc w:val="left"/>
      <w:pPr>
        <w:ind w:left="3270" w:hanging="720"/>
      </w:pPr>
      <w:rPr>
        <w:rFonts w:hint="default"/>
        <w:b/>
      </w:rPr>
    </w:lvl>
    <w:lvl w:ilvl="4">
      <w:start w:val="1"/>
      <w:numFmt w:val="decimal"/>
      <w:lvlText w:val="%1.%2.%3.%4.%5"/>
      <w:lvlJc w:val="left"/>
      <w:pPr>
        <w:ind w:left="4480" w:hanging="1080"/>
      </w:pPr>
      <w:rPr>
        <w:rFonts w:hint="default"/>
        <w:b/>
      </w:rPr>
    </w:lvl>
    <w:lvl w:ilvl="5">
      <w:start w:val="1"/>
      <w:numFmt w:val="decimal"/>
      <w:lvlText w:val="%1.%2.%3.%4.%5.%6"/>
      <w:lvlJc w:val="left"/>
      <w:pPr>
        <w:ind w:left="5330" w:hanging="1080"/>
      </w:pPr>
      <w:rPr>
        <w:rFonts w:hint="default"/>
        <w:b/>
      </w:rPr>
    </w:lvl>
    <w:lvl w:ilvl="6">
      <w:start w:val="1"/>
      <w:numFmt w:val="decimal"/>
      <w:lvlText w:val="%1.%2.%3.%4.%5.%6.%7"/>
      <w:lvlJc w:val="left"/>
      <w:pPr>
        <w:ind w:left="6540" w:hanging="1440"/>
      </w:pPr>
      <w:rPr>
        <w:rFonts w:hint="default"/>
        <w:b/>
      </w:rPr>
    </w:lvl>
    <w:lvl w:ilvl="7">
      <w:start w:val="1"/>
      <w:numFmt w:val="decimal"/>
      <w:lvlText w:val="%1.%2.%3.%4.%5.%6.%7.%8"/>
      <w:lvlJc w:val="left"/>
      <w:pPr>
        <w:ind w:left="7390" w:hanging="1440"/>
      </w:pPr>
      <w:rPr>
        <w:rFonts w:hint="default"/>
        <w:b/>
      </w:rPr>
    </w:lvl>
    <w:lvl w:ilvl="8">
      <w:start w:val="1"/>
      <w:numFmt w:val="decimal"/>
      <w:lvlText w:val="%1.%2.%3.%4.%5.%6.%7.%8.%9"/>
      <w:lvlJc w:val="left"/>
      <w:pPr>
        <w:ind w:left="8600" w:hanging="1800"/>
      </w:pPr>
      <w:rPr>
        <w:rFonts w:hint="default"/>
        <w:b/>
      </w:rPr>
    </w:lvl>
  </w:abstractNum>
  <w:abstractNum w:abstractNumId="4" w15:restartNumberingAfterBreak="0">
    <w:nsid w:val="657518B3"/>
    <w:multiLevelType w:val="multilevel"/>
    <w:tmpl w:val="52E463D6"/>
    <w:lvl w:ilvl="0">
      <w:start w:val="6"/>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 w15:restartNumberingAfterBreak="0">
    <w:nsid w:val="66B049F4"/>
    <w:multiLevelType w:val="multilevel"/>
    <w:tmpl w:val="F800C086"/>
    <w:lvl w:ilvl="0">
      <w:start w:val="1"/>
      <w:numFmt w:val="upperRoman"/>
      <w:lvlText w:val="%1."/>
      <w:lvlJc w:val="left"/>
      <w:pPr>
        <w:ind w:left="2421" w:hanging="720"/>
      </w:pPr>
      <w:rPr>
        <w:rFonts w:hint="default"/>
        <w:b w:val="0"/>
      </w:rPr>
    </w:lvl>
    <w:lvl w:ilvl="1">
      <w:start w:val="1"/>
      <w:numFmt w:val="decimal"/>
      <w:isLgl/>
      <w:lvlText w:val="%1.%2."/>
      <w:lvlJc w:val="left"/>
      <w:pPr>
        <w:ind w:left="2121" w:hanging="4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6" w15:restartNumberingAfterBreak="0">
    <w:nsid w:val="6F36492F"/>
    <w:multiLevelType w:val="multilevel"/>
    <w:tmpl w:val="E7F650C8"/>
    <w:lvl w:ilvl="0">
      <w:start w:val="6"/>
      <w:numFmt w:val="decimal"/>
      <w:lvlText w:val="%1"/>
      <w:lvlJc w:val="left"/>
      <w:pPr>
        <w:ind w:left="360" w:hanging="360"/>
      </w:pPr>
      <w:rPr>
        <w:rFonts w:hint="default"/>
      </w:rPr>
    </w:lvl>
    <w:lvl w:ilvl="1">
      <w:start w:val="1"/>
      <w:numFmt w:val="decimal"/>
      <w:lvlText w:val="%1.%2"/>
      <w:lvlJc w:val="left"/>
      <w:pPr>
        <w:ind w:left="2481" w:hanging="360"/>
      </w:pPr>
      <w:rPr>
        <w:rFonts w:hint="default"/>
      </w:rPr>
    </w:lvl>
    <w:lvl w:ilvl="2">
      <w:start w:val="1"/>
      <w:numFmt w:val="decimal"/>
      <w:lvlText w:val="%1.%2.%3"/>
      <w:lvlJc w:val="left"/>
      <w:pPr>
        <w:ind w:left="4962" w:hanging="720"/>
      </w:pPr>
      <w:rPr>
        <w:rFonts w:hint="default"/>
      </w:rPr>
    </w:lvl>
    <w:lvl w:ilvl="3">
      <w:start w:val="1"/>
      <w:numFmt w:val="decimal"/>
      <w:lvlText w:val="%1.%2.%3.%4"/>
      <w:lvlJc w:val="left"/>
      <w:pPr>
        <w:ind w:left="7083" w:hanging="720"/>
      </w:pPr>
      <w:rPr>
        <w:rFonts w:hint="default"/>
      </w:rPr>
    </w:lvl>
    <w:lvl w:ilvl="4">
      <w:start w:val="1"/>
      <w:numFmt w:val="decimal"/>
      <w:lvlText w:val="%1.%2.%3.%4.%5"/>
      <w:lvlJc w:val="left"/>
      <w:pPr>
        <w:ind w:left="9564" w:hanging="1080"/>
      </w:pPr>
      <w:rPr>
        <w:rFonts w:hint="default"/>
      </w:rPr>
    </w:lvl>
    <w:lvl w:ilvl="5">
      <w:start w:val="1"/>
      <w:numFmt w:val="decimal"/>
      <w:lvlText w:val="%1.%2.%3.%4.%5.%6"/>
      <w:lvlJc w:val="left"/>
      <w:pPr>
        <w:ind w:left="11685" w:hanging="1080"/>
      </w:pPr>
      <w:rPr>
        <w:rFonts w:hint="default"/>
      </w:rPr>
    </w:lvl>
    <w:lvl w:ilvl="6">
      <w:start w:val="1"/>
      <w:numFmt w:val="decimal"/>
      <w:lvlText w:val="%1.%2.%3.%4.%5.%6.%7"/>
      <w:lvlJc w:val="left"/>
      <w:pPr>
        <w:ind w:left="14166" w:hanging="1440"/>
      </w:pPr>
      <w:rPr>
        <w:rFonts w:hint="default"/>
      </w:rPr>
    </w:lvl>
    <w:lvl w:ilvl="7">
      <w:start w:val="1"/>
      <w:numFmt w:val="decimal"/>
      <w:lvlText w:val="%1.%2.%3.%4.%5.%6.%7.%8"/>
      <w:lvlJc w:val="left"/>
      <w:pPr>
        <w:ind w:left="16287" w:hanging="1440"/>
      </w:pPr>
      <w:rPr>
        <w:rFonts w:hint="default"/>
      </w:rPr>
    </w:lvl>
    <w:lvl w:ilvl="8">
      <w:start w:val="1"/>
      <w:numFmt w:val="decimal"/>
      <w:lvlText w:val="%1.%2.%3.%4.%5.%6.%7.%8.%9"/>
      <w:lvlJc w:val="left"/>
      <w:pPr>
        <w:ind w:left="18768" w:hanging="1800"/>
      </w:pPr>
      <w:rPr>
        <w:rFonts w:hint="default"/>
      </w:rPr>
    </w:lvl>
  </w:abstractNum>
  <w:num w:numId="1" w16cid:durableId="16590481">
    <w:abstractNumId w:val="2"/>
  </w:num>
  <w:num w:numId="2" w16cid:durableId="1492255000">
    <w:abstractNumId w:val="5"/>
  </w:num>
  <w:num w:numId="3" w16cid:durableId="1961952779">
    <w:abstractNumId w:val="0"/>
  </w:num>
  <w:num w:numId="4" w16cid:durableId="1934390340">
    <w:abstractNumId w:val="6"/>
  </w:num>
  <w:num w:numId="5" w16cid:durableId="692852195">
    <w:abstractNumId w:val="4"/>
  </w:num>
  <w:num w:numId="6" w16cid:durableId="125435987">
    <w:abstractNumId w:val="1"/>
  </w:num>
  <w:num w:numId="7" w16cid:durableId="1695420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F5"/>
    <w:rsid w:val="00000189"/>
    <w:rsid w:val="000063DB"/>
    <w:rsid w:val="000117B6"/>
    <w:rsid w:val="00011E45"/>
    <w:rsid w:val="00014C62"/>
    <w:rsid w:val="0001639B"/>
    <w:rsid w:val="0002070A"/>
    <w:rsid w:val="000228F6"/>
    <w:rsid w:val="0002400E"/>
    <w:rsid w:val="00024773"/>
    <w:rsid w:val="00027614"/>
    <w:rsid w:val="00033943"/>
    <w:rsid w:val="0003496C"/>
    <w:rsid w:val="00040B2E"/>
    <w:rsid w:val="00042118"/>
    <w:rsid w:val="00043F47"/>
    <w:rsid w:val="00047FFC"/>
    <w:rsid w:val="00060F70"/>
    <w:rsid w:val="00061667"/>
    <w:rsid w:val="00067208"/>
    <w:rsid w:val="000713B7"/>
    <w:rsid w:val="00073CBC"/>
    <w:rsid w:val="00075F25"/>
    <w:rsid w:val="00081B85"/>
    <w:rsid w:val="00081F36"/>
    <w:rsid w:val="00082564"/>
    <w:rsid w:val="0009524E"/>
    <w:rsid w:val="00097262"/>
    <w:rsid w:val="000A32E0"/>
    <w:rsid w:val="000B6101"/>
    <w:rsid w:val="000B6225"/>
    <w:rsid w:val="000B69A2"/>
    <w:rsid w:val="000C2C71"/>
    <w:rsid w:val="000C5082"/>
    <w:rsid w:val="000C64A6"/>
    <w:rsid w:val="000C6CF7"/>
    <w:rsid w:val="000D2C91"/>
    <w:rsid w:val="000D622B"/>
    <w:rsid w:val="000E1666"/>
    <w:rsid w:val="000E181C"/>
    <w:rsid w:val="000E2A3D"/>
    <w:rsid w:val="000E6141"/>
    <w:rsid w:val="000E734A"/>
    <w:rsid w:val="000F2E06"/>
    <w:rsid w:val="000F47AD"/>
    <w:rsid w:val="000F6830"/>
    <w:rsid w:val="000F75A4"/>
    <w:rsid w:val="000F777C"/>
    <w:rsid w:val="0010323A"/>
    <w:rsid w:val="00106AFF"/>
    <w:rsid w:val="00106B83"/>
    <w:rsid w:val="001074DE"/>
    <w:rsid w:val="00117B53"/>
    <w:rsid w:val="00120969"/>
    <w:rsid w:val="00122BF2"/>
    <w:rsid w:val="001238A8"/>
    <w:rsid w:val="001273E7"/>
    <w:rsid w:val="00130491"/>
    <w:rsid w:val="00130609"/>
    <w:rsid w:val="0013100C"/>
    <w:rsid w:val="00134C23"/>
    <w:rsid w:val="00136588"/>
    <w:rsid w:val="0013709E"/>
    <w:rsid w:val="00137346"/>
    <w:rsid w:val="0014648C"/>
    <w:rsid w:val="00146DD7"/>
    <w:rsid w:val="00152A36"/>
    <w:rsid w:val="00154044"/>
    <w:rsid w:val="001602A4"/>
    <w:rsid w:val="001716D7"/>
    <w:rsid w:val="0017528C"/>
    <w:rsid w:val="00180D5C"/>
    <w:rsid w:val="0018674B"/>
    <w:rsid w:val="00186FD6"/>
    <w:rsid w:val="001908A0"/>
    <w:rsid w:val="00193085"/>
    <w:rsid w:val="001960A3"/>
    <w:rsid w:val="001A45F5"/>
    <w:rsid w:val="001A5C87"/>
    <w:rsid w:val="001A6E9A"/>
    <w:rsid w:val="001B060B"/>
    <w:rsid w:val="001B1B2A"/>
    <w:rsid w:val="001B311F"/>
    <w:rsid w:val="001B5390"/>
    <w:rsid w:val="001C2008"/>
    <w:rsid w:val="001C385A"/>
    <w:rsid w:val="001C4562"/>
    <w:rsid w:val="001C5165"/>
    <w:rsid w:val="001C5963"/>
    <w:rsid w:val="001C6FB6"/>
    <w:rsid w:val="001D04D4"/>
    <w:rsid w:val="001D3AC8"/>
    <w:rsid w:val="001D53A2"/>
    <w:rsid w:val="001D556E"/>
    <w:rsid w:val="001D6CDB"/>
    <w:rsid w:val="001E4933"/>
    <w:rsid w:val="001E4E6B"/>
    <w:rsid w:val="001F3532"/>
    <w:rsid w:val="001F507F"/>
    <w:rsid w:val="001F583F"/>
    <w:rsid w:val="001F6E7A"/>
    <w:rsid w:val="001F6FD6"/>
    <w:rsid w:val="0020096A"/>
    <w:rsid w:val="00221C24"/>
    <w:rsid w:val="00223DD3"/>
    <w:rsid w:val="00227788"/>
    <w:rsid w:val="00232F19"/>
    <w:rsid w:val="00235072"/>
    <w:rsid w:val="002372DC"/>
    <w:rsid w:val="002376A8"/>
    <w:rsid w:val="0024214C"/>
    <w:rsid w:val="00247747"/>
    <w:rsid w:val="0025315C"/>
    <w:rsid w:val="0025546E"/>
    <w:rsid w:val="00260906"/>
    <w:rsid w:val="00260FA5"/>
    <w:rsid w:val="002619B0"/>
    <w:rsid w:val="0027397B"/>
    <w:rsid w:val="00273CF7"/>
    <w:rsid w:val="00276396"/>
    <w:rsid w:val="00277BD4"/>
    <w:rsid w:val="00280C6E"/>
    <w:rsid w:val="002812A1"/>
    <w:rsid w:val="00281944"/>
    <w:rsid w:val="002833F8"/>
    <w:rsid w:val="00284A28"/>
    <w:rsid w:val="00285025"/>
    <w:rsid w:val="00292D06"/>
    <w:rsid w:val="002A0C03"/>
    <w:rsid w:val="002A4B91"/>
    <w:rsid w:val="002A55D6"/>
    <w:rsid w:val="002A7228"/>
    <w:rsid w:val="002B58F1"/>
    <w:rsid w:val="002C40AC"/>
    <w:rsid w:val="002C52D1"/>
    <w:rsid w:val="002C5743"/>
    <w:rsid w:val="002C6116"/>
    <w:rsid w:val="002D07D5"/>
    <w:rsid w:val="002D1758"/>
    <w:rsid w:val="002D6016"/>
    <w:rsid w:val="002E2637"/>
    <w:rsid w:val="002E4872"/>
    <w:rsid w:val="002E52B3"/>
    <w:rsid w:val="002E7692"/>
    <w:rsid w:val="00302CB5"/>
    <w:rsid w:val="003049BD"/>
    <w:rsid w:val="0030693D"/>
    <w:rsid w:val="00312487"/>
    <w:rsid w:val="0031472C"/>
    <w:rsid w:val="00315639"/>
    <w:rsid w:val="003224D9"/>
    <w:rsid w:val="003260D3"/>
    <w:rsid w:val="00330B1E"/>
    <w:rsid w:val="00333618"/>
    <w:rsid w:val="00336572"/>
    <w:rsid w:val="00336993"/>
    <w:rsid w:val="00336FE7"/>
    <w:rsid w:val="003375AE"/>
    <w:rsid w:val="00337AB3"/>
    <w:rsid w:val="00352187"/>
    <w:rsid w:val="00352DD8"/>
    <w:rsid w:val="00360DC6"/>
    <w:rsid w:val="00361D72"/>
    <w:rsid w:val="003634CF"/>
    <w:rsid w:val="00364990"/>
    <w:rsid w:val="003662BF"/>
    <w:rsid w:val="00377D60"/>
    <w:rsid w:val="00380919"/>
    <w:rsid w:val="00381DD7"/>
    <w:rsid w:val="0038436B"/>
    <w:rsid w:val="00390236"/>
    <w:rsid w:val="00397F85"/>
    <w:rsid w:val="003A0CD6"/>
    <w:rsid w:val="003A0EB0"/>
    <w:rsid w:val="003B5993"/>
    <w:rsid w:val="003B7AEF"/>
    <w:rsid w:val="003B7B3F"/>
    <w:rsid w:val="003C1CF7"/>
    <w:rsid w:val="003C54C9"/>
    <w:rsid w:val="003D03C8"/>
    <w:rsid w:val="003D0B70"/>
    <w:rsid w:val="003D1F33"/>
    <w:rsid w:val="003D7C2B"/>
    <w:rsid w:val="003E0E2E"/>
    <w:rsid w:val="003E3505"/>
    <w:rsid w:val="003E3D28"/>
    <w:rsid w:val="003E49BA"/>
    <w:rsid w:val="003E5D50"/>
    <w:rsid w:val="003E64C9"/>
    <w:rsid w:val="003F1C85"/>
    <w:rsid w:val="003F55B4"/>
    <w:rsid w:val="003F615E"/>
    <w:rsid w:val="00400403"/>
    <w:rsid w:val="00401351"/>
    <w:rsid w:val="0040306D"/>
    <w:rsid w:val="004148C9"/>
    <w:rsid w:val="00415363"/>
    <w:rsid w:val="00417013"/>
    <w:rsid w:val="0041732C"/>
    <w:rsid w:val="004177E2"/>
    <w:rsid w:val="004201F3"/>
    <w:rsid w:val="00421444"/>
    <w:rsid w:val="00424B97"/>
    <w:rsid w:val="0042535A"/>
    <w:rsid w:val="00433E9E"/>
    <w:rsid w:val="0043585B"/>
    <w:rsid w:val="00435D02"/>
    <w:rsid w:val="00436937"/>
    <w:rsid w:val="00441D3E"/>
    <w:rsid w:val="0044500F"/>
    <w:rsid w:val="004473E9"/>
    <w:rsid w:val="00450CC1"/>
    <w:rsid w:val="00450CFF"/>
    <w:rsid w:val="004543AE"/>
    <w:rsid w:val="00455100"/>
    <w:rsid w:val="00455580"/>
    <w:rsid w:val="00455CA8"/>
    <w:rsid w:val="004644E2"/>
    <w:rsid w:val="00465EBC"/>
    <w:rsid w:val="0046720A"/>
    <w:rsid w:val="004757AB"/>
    <w:rsid w:val="00476170"/>
    <w:rsid w:val="004765DF"/>
    <w:rsid w:val="0048101E"/>
    <w:rsid w:val="00482CCA"/>
    <w:rsid w:val="004834CB"/>
    <w:rsid w:val="00485534"/>
    <w:rsid w:val="00486122"/>
    <w:rsid w:val="0048784D"/>
    <w:rsid w:val="004933CB"/>
    <w:rsid w:val="004935CE"/>
    <w:rsid w:val="00493C08"/>
    <w:rsid w:val="004950AB"/>
    <w:rsid w:val="004A0867"/>
    <w:rsid w:val="004A2481"/>
    <w:rsid w:val="004A28FD"/>
    <w:rsid w:val="004A3412"/>
    <w:rsid w:val="004A3C2A"/>
    <w:rsid w:val="004A4757"/>
    <w:rsid w:val="004A5E0D"/>
    <w:rsid w:val="004B0B56"/>
    <w:rsid w:val="004C42D2"/>
    <w:rsid w:val="004C5B53"/>
    <w:rsid w:val="004C7510"/>
    <w:rsid w:val="004D03BF"/>
    <w:rsid w:val="004D4F86"/>
    <w:rsid w:val="004D7BDB"/>
    <w:rsid w:val="004F4F86"/>
    <w:rsid w:val="004F64AA"/>
    <w:rsid w:val="00500B31"/>
    <w:rsid w:val="00502F2B"/>
    <w:rsid w:val="0050364E"/>
    <w:rsid w:val="005066C6"/>
    <w:rsid w:val="00511AD4"/>
    <w:rsid w:val="00515F51"/>
    <w:rsid w:val="00516059"/>
    <w:rsid w:val="00516AEA"/>
    <w:rsid w:val="0052213A"/>
    <w:rsid w:val="00522C9C"/>
    <w:rsid w:val="00522D5B"/>
    <w:rsid w:val="005242A8"/>
    <w:rsid w:val="00524FA3"/>
    <w:rsid w:val="00527FFB"/>
    <w:rsid w:val="00530382"/>
    <w:rsid w:val="0054272D"/>
    <w:rsid w:val="005433BD"/>
    <w:rsid w:val="0054433C"/>
    <w:rsid w:val="00545FBF"/>
    <w:rsid w:val="0054768E"/>
    <w:rsid w:val="00547743"/>
    <w:rsid w:val="00550C71"/>
    <w:rsid w:val="00551B7B"/>
    <w:rsid w:val="005575F1"/>
    <w:rsid w:val="0056038C"/>
    <w:rsid w:val="00562128"/>
    <w:rsid w:val="00563DE1"/>
    <w:rsid w:val="0057005A"/>
    <w:rsid w:val="00570D7A"/>
    <w:rsid w:val="0057214E"/>
    <w:rsid w:val="005772FA"/>
    <w:rsid w:val="00580BE8"/>
    <w:rsid w:val="005815CC"/>
    <w:rsid w:val="00583077"/>
    <w:rsid w:val="0058629C"/>
    <w:rsid w:val="00591193"/>
    <w:rsid w:val="005963D2"/>
    <w:rsid w:val="005A0CCE"/>
    <w:rsid w:val="005A12A6"/>
    <w:rsid w:val="005A1A6D"/>
    <w:rsid w:val="005B731C"/>
    <w:rsid w:val="005C532A"/>
    <w:rsid w:val="005C64A1"/>
    <w:rsid w:val="005D0EE6"/>
    <w:rsid w:val="005D2986"/>
    <w:rsid w:val="005D2C18"/>
    <w:rsid w:val="005E114A"/>
    <w:rsid w:val="005E74BA"/>
    <w:rsid w:val="005F365D"/>
    <w:rsid w:val="005F4CA9"/>
    <w:rsid w:val="005F51A9"/>
    <w:rsid w:val="005F5A89"/>
    <w:rsid w:val="005F6A0D"/>
    <w:rsid w:val="005F7B27"/>
    <w:rsid w:val="00605B26"/>
    <w:rsid w:val="00607589"/>
    <w:rsid w:val="00607FBE"/>
    <w:rsid w:val="006106F0"/>
    <w:rsid w:val="00610E5F"/>
    <w:rsid w:val="006137E1"/>
    <w:rsid w:val="00614116"/>
    <w:rsid w:val="00614ABB"/>
    <w:rsid w:val="00615DC2"/>
    <w:rsid w:val="00621A69"/>
    <w:rsid w:val="0062353D"/>
    <w:rsid w:val="00627A9B"/>
    <w:rsid w:val="00631F0E"/>
    <w:rsid w:val="00635F44"/>
    <w:rsid w:val="006404FD"/>
    <w:rsid w:val="00641095"/>
    <w:rsid w:val="00641882"/>
    <w:rsid w:val="00641FA6"/>
    <w:rsid w:val="00642F7F"/>
    <w:rsid w:val="00642F91"/>
    <w:rsid w:val="00644767"/>
    <w:rsid w:val="00651AB0"/>
    <w:rsid w:val="006534E0"/>
    <w:rsid w:val="006537AB"/>
    <w:rsid w:val="00654CB9"/>
    <w:rsid w:val="00655F8A"/>
    <w:rsid w:val="0065703C"/>
    <w:rsid w:val="00657346"/>
    <w:rsid w:val="00661265"/>
    <w:rsid w:val="0066379D"/>
    <w:rsid w:val="00666B94"/>
    <w:rsid w:val="00670048"/>
    <w:rsid w:val="006712BB"/>
    <w:rsid w:val="00672DB8"/>
    <w:rsid w:val="00676D8F"/>
    <w:rsid w:val="006810C5"/>
    <w:rsid w:val="00681D3D"/>
    <w:rsid w:val="0068702C"/>
    <w:rsid w:val="006944E3"/>
    <w:rsid w:val="00695635"/>
    <w:rsid w:val="00695825"/>
    <w:rsid w:val="0069677E"/>
    <w:rsid w:val="006A4AC2"/>
    <w:rsid w:val="006A4CE6"/>
    <w:rsid w:val="006A5808"/>
    <w:rsid w:val="006A5EE2"/>
    <w:rsid w:val="006A6D03"/>
    <w:rsid w:val="006B1A22"/>
    <w:rsid w:val="006B2994"/>
    <w:rsid w:val="006B7E3A"/>
    <w:rsid w:val="006C1220"/>
    <w:rsid w:val="006C3632"/>
    <w:rsid w:val="006D0083"/>
    <w:rsid w:val="006D6AD9"/>
    <w:rsid w:val="006E2CA8"/>
    <w:rsid w:val="006E4457"/>
    <w:rsid w:val="006E5E47"/>
    <w:rsid w:val="006E61DF"/>
    <w:rsid w:val="006E7506"/>
    <w:rsid w:val="006F0238"/>
    <w:rsid w:val="006F252B"/>
    <w:rsid w:val="006F4431"/>
    <w:rsid w:val="006F4460"/>
    <w:rsid w:val="006F4613"/>
    <w:rsid w:val="007006D0"/>
    <w:rsid w:val="0070536C"/>
    <w:rsid w:val="0071638D"/>
    <w:rsid w:val="00723E8C"/>
    <w:rsid w:val="00725118"/>
    <w:rsid w:val="0072740C"/>
    <w:rsid w:val="00727CE2"/>
    <w:rsid w:val="00727DE3"/>
    <w:rsid w:val="00731FD6"/>
    <w:rsid w:val="00732FCB"/>
    <w:rsid w:val="0074683F"/>
    <w:rsid w:val="007575D8"/>
    <w:rsid w:val="00766305"/>
    <w:rsid w:val="0076675E"/>
    <w:rsid w:val="00767F51"/>
    <w:rsid w:val="00773A61"/>
    <w:rsid w:val="00777218"/>
    <w:rsid w:val="007772B3"/>
    <w:rsid w:val="00783D39"/>
    <w:rsid w:val="0078485E"/>
    <w:rsid w:val="0079274D"/>
    <w:rsid w:val="0079784F"/>
    <w:rsid w:val="00797CE9"/>
    <w:rsid w:val="007B2113"/>
    <w:rsid w:val="007B3A6E"/>
    <w:rsid w:val="007B5ADB"/>
    <w:rsid w:val="007B72C2"/>
    <w:rsid w:val="007C1721"/>
    <w:rsid w:val="007C3387"/>
    <w:rsid w:val="007C34FB"/>
    <w:rsid w:val="007D0562"/>
    <w:rsid w:val="007D1E7A"/>
    <w:rsid w:val="007D548F"/>
    <w:rsid w:val="007D5CCE"/>
    <w:rsid w:val="007D6568"/>
    <w:rsid w:val="007E2320"/>
    <w:rsid w:val="007E66D6"/>
    <w:rsid w:val="007E7A88"/>
    <w:rsid w:val="007F1F25"/>
    <w:rsid w:val="007F2EC2"/>
    <w:rsid w:val="00803F23"/>
    <w:rsid w:val="00806D27"/>
    <w:rsid w:val="008071B7"/>
    <w:rsid w:val="0081179D"/>
    <w:rsid w:val="00811F3A"/>
    <w:rsid w:val="00830BEA"/>
    <w:rsid w:val="00831F7B"/>
    <w:rsid w:val="00841DC9"/>
    <w:rsid w:val="00842C01"/>
    <w:rsid w:val="00844EF3"/>
    <w:rsid w:val="00846839"/>
    <w:rsid w:val="008523B0"/>
    <w:rsid w:val="00852BD6"/>
    <w:rsid w:val="00855766"/>
    <w:rsid w:val="008561A8"/>
    <w:rsid w:val="0086366E"/>
    <w:rsid w:val="00870CB9"/>
    <w:rsid w:val="0087157A"/>
    <w:rsid w:val="0087214E"/>
    <w:rsid w:val="008741D5"/>
    <w:rsid w:val="00875531"/>
    <w:rsid w:val="008755A6"/>
    <w:rsid w:val="00881206"/>
    <w:rsid w:val="00882C54"/>
    <w:rsid w:val="0088401E"/>
    <w:rsid w:val="00892FA6"/>
    <w:rsid w:val="00894B44"/>
    <w:rsid w:val="008960CB"/>
    <w:rsid w:val="008A152E"/>
    <w:rsid w:val="008A1F4A"/>
    <w:rsid w:val="008A280C"/>
    <w:rsid w:val="008A49FC"/>
    <w:rsid w:val="008A5B4F"/>
    <w:rsid w:val="008A6954"/>
    <w:rsid w:val="008B00B8"/>
    <w:rsid w:val="008C0F2F"/>
    <w:rsid w:val="008C26B4"/>
    <w:rsid w:val="008C50C9"/>
    <w:rsid w:val="008D35DD"/>
    <w:rsid w:val="008D615A"/>
    <w:rsid w:val="008E542F"/>
    <w:rsid w:val="008E577B"/>
    <w:rsid w:val="008E689C"/>
    <w:rsid w:val="008E743B"/>
    <w:rsid w:val="008F1C6E"/>
    <w:rsid w:val="00901E1A"/>
    <w:rsid w:val="0090310E"/>
    <w:rsid w:val="00903C72"/>
    <w:rsid w:val="00906EDC"/>
    <w:rsid w:val="00907DD0"/>
    <w:rsid w:val="00910E66"/>
    <w:rsid w:val="00913799"/>
    <w:rsid w:val="009137E2"/>
    <w:rsid w:val="00913933"/>
    <w:rsid w:val="00915DFB"/>
    <w:rsid w:val="00915FA4"/>
    <w:rsid w:val="00920294"/>
    <w:rsid w:val="00920A85"/>
    <w:rsid w:val="009260EB"/>
    <w:rsid w:val="00926C49"/>
    <w:rsid w:val="00932AD1"/>
    <w:rsid w:val="0093792A"/>
    <w:rsid w:val="00941555"/>
    <w:rsid w:val="00943F10"/>
    <w:rsid w:val="0094678B"/>
    <w:rsid w:val="00947099"/>
    <w:rsid w:val="00947CD2"/>
    <w:rsid w:val="00950172"/>
    <w:rsid w:val="00955208"/>
    <w:rsid w:val="00960C47"/>
    <w:rsid w:val="009660AD"/>
    <w:rsid w:val="00966EA6"/>
    <w:rsid w:val="00967554"/>
    <w:rsid w:val="0097121D"/>
    <w:rsid w:val="009770BF"/>
    <w:rsid w:val="009824E9"/>
    <w:rsid w:val="00984085"/>
    <w:rsid w:val="00992470"/>
    <w:rsid w:val="0099294E"/>
    <w:rsid w:val="00993D37"/>
    <w:rsid w:val="00995BEA"/>
    <w:rsid w:val="00997857"/>
    <w:rsid w:val="009A1435"/>
    <w:rsid w:val="009A4452"/>
    <w:rsid w:val="009B05DF"/>
    <w:rsid w:val="009C09E7"/>
    <w:rsid w:val="009C11C7"/>
    <w:rsid w:val="009C1A6C"/>
    <w:rsid w:val="009C29B4"/>
    <w:rsid w:val="009C3EDD"/>
    <w:rsid w:val="009C44AD"/>
    <w:rsid w:val="009C51C1"/>
    <w:rsid w:val="009D0896"/>
    <w:rsid w:val="009D45CE"/>
    <w:rsid w:val="009D7151"/>
    <w:rsid w:val="009D74B5"/>
    <w:rsid w:val="009D7DA4"/>
    <w:rsid w:val="009E0D34"/>
    <w:rsid w:val="009E2B97"/>
    <w:rsid w:val="009E6287"/>
    <w:rsid w:val="009E7B4E"/>
    <w:rsid w:val="009F23C6"/>
    <w:rsid w:val="009F40F9"/>
    <w:rsid w:val="009F67B5"/>
    <w:rsid w:val="009F6BBC"/>
    <w:rsid w:val="009F78F8"/>
    <w:rsid w:val="00A02957"/>
    <w:rsid w:val="00A04092"/>
    <w:rsid w:val="00A042EE"/>
    <w:rsid w:val="00A07B1A"/>
    <w:rsid w:val="00A11081"/>
    <w:rsid w:val="00A174D8"/>
    <w:rsid w:val="00A22CAC"/>
    <w:rsid w:val="00A25093"/>
    <w:rsid w:val="00A25BF1"/>
    <w:rsid w:val="00A27E94"/>
    <w:rsid w:val="00A3028F"/>
    <w:rsid w:val="00A3193A"/>
    <w:rsid w:val="00A33412"/>
    <w:rsid w:val="00A4031D"/>
    <w:rsid w:val="00A47556"/>
    <w:rsid w:val="00A52233"/>
    <w:rsid w:val="00A526CF"/>
    <w:rsid w:val="00A54932"/>
    <w:rsid w:val="00A54DCF"/>
    <w:rsid w:val="00A57421"/>
    <w:rsid w:val="00A63907"/>
    <w:rsid w:val="00A6522D"/>
    <w:rsid w:val="00A66015"/>
    <w:rsid w:val="00A666B8"/>
    <w:rsid w:val="00A66C96"/>
    <w:rsid w:val="00A70BE8"/>
    <w:rsid w:val="00A74132"/>
    <w:rsid w:val="00A74232"/>
    <w:rsid w:val="00A77B6B"/>
    <w:rsid w:val="00A820AC"/>
    <w:rsid w:val="00A8614D"/>
    <w:rsid w:val="00A90464"/>
    <w:rsid w:val="00A90BD3"/>
    <w:rsid w:val="00A9458A"/>
    <w:rsid w:val="00A95A7A"/>
    <w:rsid w:val="00AA3269"/>
    <w:rsid w:val="00AA46AA"/>
    <w:rsid w:val="00AB0B79"/>
    <w:rsid w:val="00AB571C"/>
    <w:rsid w:val="00AB5D6B"/>
    <w:rsid w:val="00AC3B04"/>
    <w:rsid w:val="00AD221B"/>
    <w:rsid w:val="00AD3C1A"/>
    <w:rsid w:val="00AD6FF9"/>
    <w:rsid w:val="00AD72B7"/>
    <w:rsid w:val="00AE06F7"/>
    <w:rsid w:val="00AE304F"/>
    <w:rsid w:val="00AE5B51"/>
    <w:rsid w:val="00AE6702"/>
    <w:rsid w:val="00AF37B2"/>
    <w:rsid w:val="00AF502A"/>
    <w:rsid w:val="00B14CD7"/>
    <w:rsid w:val="00B168E6"/>
    <w:rsid w:val="00B16B18"/>
    <w:rsid w:val="00B33304"/>
    <w:rsid w:val="00B40FB0"/>
    <w:rsid w:val="00B43B48"/>
    <w:rsid w:val="00B448CA"/>
    <w:rsid w:val="00B45371"/>
    <w:rsid w:val="00B52A6D"/>
    <w:rsid w:val="00B54BD5"/>
    <w:rsid w:val="00B61562"/>
    <w:rsid w:val="00B62FB9"/>
    <w:rsid w:val="00B6512E"/>
    <w:rsid w:val="00B7114D"/>
    <w:rsid w:val="00B75F58"/>
    <w:rsid w:val="00B80AC7"/>
    <w:rsid w:val="00B8215E"/>
    <w:rsid w:val="00B84AA6"/>
    <w:rsid w:val="00B85F7B"/>
    <w:rsid w:val="00B90406"/>
    <w:rsid w:val="00B931CC"/>
    <w:rsid w:val="00BB2991"/>
    <w:rsid w:val="00BB3470"/>
    <w:rsid w:val="00BB4A77"/>
    <w:rsid w:val="00BB4BB9"/>
    <w:rsid w:val="00BB7E46"/>
    <w:rsid w:val="00BC0A07"/>
    <w:rsid w:val="00BD4985"/>
    <w:rsid w:val="00BD5D35"/>
    <w:rsid w:val="00BD6B83"/>
    <w:rsid w:val="00BE4F5C"/>
    <w:rsid w:val="00BE67BA"/>
    <w:rsid w:val="00BF1BFD"/>
    <w:rsid w:val="00BF4CCC"/>
    <w:rsid w:val="00BF4FCE"/>
    <w:rsid w:val="00C00132"/>
    <w:rsid w:val="00C02D33"/>
    <w:rsid w:val="00C03F98"/>
    <w:rsid w:val="00C046F3"/>
    <w:rsid w:val="00C142C0"/>
    <w:rsid w:val="00C15248"/>
    <w:rsid w:val="00C16C7A"/>
    <w:rsid w:val="00C206A2"/>
    <w:rsid w:val="00C20DBB"/>
    <w:rsid w:val="00C21D7A"/>
    <w:rsid w:val="00C23C8A"/>
    <w:rsid w:val="00C24093"/>
    <w:rsid w:val="00C30262"/>
    <w:rsid w:val="00C30D82"/>
    <w:rsid w:val="00C31F19"/>
    <w:rsid w:val="00C325CB"/>
    <w:rsid w:val="00C359CD"/>
    <w:rsid w:val="00C370D6"/>
    <w:rsid w:val="00C40B31"/>
    <w:rsid w:val="00C43CC7"/>
    <w:rsid w:val="00C50051"/>
    <w:rsid w:val="00C503F1"/>
    <w:rsid w:val="00C71272"/>
    <w:rsid w:val="00C712D6"/>
    <w:rsid w:val="00C80CDD"/>
    <w:rsid w:val="00C8305D"/>
    <w:rsid w:val="00C841BE"/>
    <w:rsid w:val="00C86BA0"/>
    <w:rsid w:val="00C9440B"/>
    <w:rsid w:val="00CA10E0"/>
    <w:rsid w:val="00CA21F9"/>
    <w:rsid w:val="00CA24D1"/>
    <w:rsid w:val="00CA4335"/>
    <w:rsid w:val="00CA4374"/>
    <w:rsid w:val="00CA57C9"/>
    <w:rsid w:val="00CA5AF9"/>
    <w:rsid w:val="00CA6880"/>
    <w:rsid w:val="00CA7995"/>
    <w:rsid w:val="00CB296A"/>
    <w:rsid w:val="00CB2FF5"/>
    <w:rsid w:val="00CB33A6"/>
    <w:rsid w:val="00CB6919"/>
    <w:rsid w:val="00CB73B8"/>
    <w:rsid w:val="00CB7F00"/>
    <w:rsid w:val="00CC0778"/>
    <w:rsid w:val="00CC2B22"/>
    <w:rsid w:val="00CC3E38"/>
    <w:rsid w:val="00CD06C2"/>
    <w:rsid w:val="00CD2CB5"/>
    <w:rsid w:val="00CD2D5B"/>
    <w:rsid w:val="00CD3E90"/>
    <w:rsid w:val="00CD4C8A"/>
    <w:rsid w:val="00CE09C7"/>
    <w:rsid w:val="00CE3C99"/>
    <w:rsid w:val="00CE52F0"/>
    <w:rsid w:val="00CE6426"/>
    <w:rsid w:val="00CF55EA"/>
    <w:rsid w:val="00D05837"/>
    <w:rsid w:val="00D06D10"/>
    <w:rsid w:val="00D07532"/>
    <w:rsid w:val="00D07734"/>
    <w:rsid w:val="00D12EB1"/>
    <w:rsid w:val="00D1635D"/>
    <w:rsid w:val="00D2176E"/>
    <w:rsid w:val="00D30FD0"/>
    <w:rsid w:val="00D326CB"/>
    <w:rsid w:val="00D32741"/>
    <w:rsid w:val="00D32ABB"/>
    <w:rsid w:val="00D3467E"/>
    <w:rsid w:val="00D3660A"/>
    <w:rsid w:val="00D4316E"/>
    <w:rsid w:val="00D463F9"/>
    <w:rsid w:val="00D5185F"/>
    <w:rsid w:val="00D55EEC"/>
    <w:rsid w:val="00D57D9E"/>
    <w:rsid w:val="00D80173"/>
    <w:rsid w:val="00D86B03"/>
    <w:rsid w:val="00D86E04"/>
    <w:rsid w:val="00D8783A"/>
    <w:rsid w:val="00D907E6"/>
    <w:rsid w:val="00D962E3"/>
    <w:rsid w:val="00D97BAB"/>
    <w:rsid w:val="00D97C37"/>
    <w:rsid w:val="00DA27C5"/>
    <w:rsid w:val="00DA2BFF"/>
    <w:rsid w:val="00DA36C0"/>
    <w:rsid w:val="00DB0E3B"/>
    <w:rsid w:val="00DB4DF5"/>
    <w:rsid w:val="00DB55F6"/>
    <w:rsid w:val="00DB63EC"/>
    <w:rsid w:val="00DB6668"/>
    <w:rsid w:val="00DC0636"/>
    <w:rsid w:val="00DC0CE0"/>
    <w:rsid w:val="00DC550D"/>
    <w:rsid w:val="00DC7FAD"/>
    <w:rsid w:val="00DD7D0E"/>
    <w:rsid w:val="00DE1986"/>
    <w:rsid w:val="00DE306A"/>
    <w:rsid w:val="00DE3465"/>
    <w:rsid w:val="00DF058D"/>
    <w:rsid w:val="00DF7CBE"/>
    <w:rsid w:val="00E0191C"/>
    <w:rsid w:val="00E03EF4"/>
    <w:rsid w:val="00E04803"/>
    <w:rsid w:val="00E04EED"/>
    <w:rsid w:val="00E07F04"/>
    <w:rsid w:val="00E12420"/>
    <w:rsid w:val="00E14D25"/>
    <w:rsid w:val="00E15B57"/>
    <w:rsid w:val="00E224EA"/>
    <w:rsid w:val="00E25324"/>
    <w:rsid w:val="00E32A45"/>
    <w:rsid w:val="00E378B2"/>
    <w:rsid w:val="00E40B2C"/>
    <w:rsid w:val="00E43AAD"/>
    <w:rsid w:val="00E44E0F"/>
    <w:rsid w:val="00E4628A"/>
    <w:rsid w:val="00E5175A"/>
    <w:rsid w:val="00E531C4"/>
    <w:rsid w:val="00E553F5"/>
    <w:rsid w:val="00E57495"/>
    <w:rsid w:val="00E61644"/>
    <w:rsid w:val="00E72B88"/>
    <w:rsid w:val="00E801FB"/>
    <w:rsid w:val="00EA2506"/>
    <w:rsid w:val="00EA2887"/>
    <w:rsid w:val="00EB0CF5"/>
    <w:rsid w:val="00EB1B67"/>
    <w:rsid w:val="00EB32AE"/>
    <w:rsid w:val="00EB5818"/>
    <w:rsid w:val="00EB6B77"/>
    <w:rsid w:val="00EC3550"/>
    <w:rsid w:val="00ED051D"/>
    <w:rsid w:val="00ED1698"/>
    <w:rsid w:val="00ED567F"/>
    <w:rsid w:val="00EE0C29"/>
    <w:rsid w:val="00EF2F23"/>
    <w:rsid w:val="00EF5AF1"/>
    <w:rsid w:val="00F03099"/>
    <w:rsid w:val="00F04725"/>
    <w:rsid w:val="00F04BC0"/>
    <w:rsid w:val="00F110CB"/>
    <w:rsid w:val="00F119F8"/>
    <w:rsid w:val="00F127B1"/>
    <w:rsid w:val="00F14A75"/>
    <w:rsid w:val="00F161E6"/>
    <w:rsid w:val="00F17959"/>
    <w:rsid w:val="00F2221D"/>
    <w:rsid w:val="00F2530E"/>
    <w:rsid w:val="00F26679"/>
    <w:rsid w:val="00F30C4C"/>
    <w:rsid w:val="00F34962"/>
    <w:rsid w:val="00F431F6"/>
    <w:rsid w:val="00F45A88"/>
    <w:rsid w:val="00F53573"/>
    <w:rsid w:val="00F54572"/>
    <w:rsid w:val="00F61C38"/>
    <w:rsid w:val="00F63C73"/>
    <w:rsid w:val="00F6530E"/>
    <w:rsid w:val="00F70330"/>
    <w:rsid w:val="00F7112B"/>
    <w:rsid w:val="00F722FE"/>
    <w:rsid w:val="00F72A8D"/>
    <w:rsid w:val="00F732F3"/>
    <w:rsid w:val="00F767BE"/>
    <w:rsid w:val="00F83965"/>
    <w:rsid w:val="00F847C1"/>
    <w:rsid w:val="00F86FE7"/>
    <w:rsid w:val="00F90F44"/>
    <w:rsid w:val="00F91761"/>
    <w:rsid w:val="00F935BC"/>
    <w:rsid w:val="00F9659E"/>
    <w:rsid w:val="00F97C9E"/>
    <w:rsid w:val="00FA2C8C"/>
    <w:rsid w:val="00FA512C"/>
    <w:rsid w:val="00FA51B6"/>
    <w:rsid w:val="00FB119D"/>
    <w:rsid w:val="00FB2B0E"/>
    <w:rsid w:val="00FB4753"/>
    <w:rsid w:val="00FC0D60"/>
    <w:rsid w:val="00FC126C"/>
    <w:rsid w:val="00FC1565"/>
    <w:rsid w:val="00FC25C6"/>
    <w:rsid w:val="00FD4CEE"/>
    <w:rsid w:val="00FD518E"/>
    <w:rsid w:val="00FD5BAD"/>
    <w:rsid w:val="00FD694E"/>
    <w:rsid w:val="00FD6D5D"/>
    <w:rsid w:val="00FD77A4"/>
    <w:rsid w:val="00FE4DAA"/>
    <w:rsid w:val="00FF5C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42B6"/>
  <w15:chartTrackingRefBased/>
  <w15:docId w15:val="{C76D8D93-0E71-4408-85A6-941436A6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F5"/>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2FF5"/>
    <w:pPr>
      <w:tabs>
        <w:tab w:val="center" w:pos="4252"/>
        <w:tab w:val="right" w:pos="8504"/>
      </w:tabs>
      <w:spacing w:after="0" w:line="240" w:lineRule="auto"/>
    </w:pPr>
    <w:rPr>
      <w:lang w:val="x-none"/>
    </w:rPr>
  </w:style>
  <w:style w:type="character" w:customStyle="1" w:styleId="CabealhoChar">
    <w:name w:val="Cabeçalho Char"/>
    <w:basedOn w:val="Fontepargpadro"/>
    <w:link w:val="Cabealho"/>
    <w:uiPriority w:val="99"/>
    <w:rsid w:val="00CB2FF5"/>
    <w:rPr>
      <w:rFonts w:ascii="Calibri" w:eastAsia="Calibri" w:hAnsi="Calibri" w:cs="Times New Roman"/>
      <w:lang w:val="x-none"/>
    </w:rPr>
  </w:style>
  <w:style w:type="table" w:styleId="Tabelacomgrade">
    <w:name w:val="Table Grid"/>
    <w:basedOn w:val="Tabelanormal"/>
    <w:uiPriority w:val="59"/>
    <w:rsid w:val="00CB2FF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B2FF5"/>
    <w:rPr>
      <w:color w:val="0563C1"/>
      <w:u w:val="single"/>
    </w:rPr>
  </w:style>
  <w:style w:type="paragraph" w:customStyle="1" w:styleId="Default">
    <w:name w:val="Default"/>
    <w:rsid w:val="00CB2FF5"/>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Epgrafe">
    <w:name w:val="#Epígrafe"/>
    <w:basedOn w:val="Normal"/>
    <w:autoRedefine/>
    <w:qFormat/>
    <w:rsid w:val="00CB2FF5"/>
    <w:pPr>
      <w:widowControl w:val="0"/>
      <w:suppressAutoHyphens/>
      <w:spacing w:after="0" w:line="240" w:lineRule="auto"/>
      <w:ind w:left="1701"/>
      <w:jc w:val="center"/>
    </w:pPr>
    <w:rPr>
      <w:caps/>
      <w:sz w:val="20"/>
      <w:szCs w:val="16"/>
      <w:lang w:bidi="en-US"/>
    </w:rPr>
  </w:style>
  <w:style w:type="paragraph" w:styleId="Rodap">
    <w:name w:val="footer"/>
    <w:basedOn w:val="Normal"/>
    <w:link w:val="RodapChar"/>
    <w:uiPriority w:val="99"/>
    <w:unhideWhenUsed/>
    <w:rsid w:val="00CB2FF5"/>
    <w:pPr>
      <w:tabs>
        <w:tab w:val="center" w:pos="4252"/>
        <w:tab w:val="right" w:pos="8504"/>
      </w:tabs>
    </w:pPr>
  </w:style>
  <w:style w:type="character" w:customStyle="1" w:styleId="RodapChar">
    <w:name w:val="Rodapé Char"/>
    <w:basedOn w:val="Fontepargpadro"/>
    <w:link w:val="Rodap"/>
    <w:uiPriority w:val="99"/>
    <w:rsid w:val="00CB2FF5"/>
    <w:rPr>
      <w:rFonts w:ascii="Calibri" w:eastAsia="Calibri" w:hAnsi="Calibri" w:cs="Times New Roman"/>
    </w:rPr>
  </w:style>
  <w:style w:type="paragraph" w:styleId="NormalWeb">
    <w:name w:val="Normal (Web)"/>
    <w:basedOn w:val="Normal"/>
    <w:uiPriority w:val="99"/>
    <w:semiHidden/>
    <w:unhideWhenUsed/>
    <w:rsid w:val="00CB2FF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soheader0">
    <w:name w:val="msoheader"/>
    <w:basedOn w:val="Fontepargpadro"/>
    <w:rsid w:val="00CB2FF5"/>
  </w:style>
  <w:style w:type="paragraph" w:styleId="PargrafodaLista">
    <w:name w:val="List Paragraph"/>
    <w:basedOn w:val="Normal"/>
    <w:uiPriority w:val="34"/>
    <w:qFormat/>
    <w:rsid w:val="00CB2FF5"/>
    <w:pPr>
      <w:ind w:left="720"/>
      <w:contextualSpacing/>
    </w:pPr>
  </w:style>
  <w:style w:type="character" w:styleId="HiperlinkVisitado">
    <w:name w:val="FollowedHyperlink"/>
    <w:basedOn w:val="Fontepargpadro"/>
    <w:uiPriority w:val="99"/>
    <w:semiHidden/>
    <w:unhideWhenUsed/>
    <w:rsid w:val="00CB2FF5"/>
    <w:rPr>
      <w:color w:val="954F72"/>
      <w:u w:val="single"/>
    </w:rPr>
  </w:style>
  <w:style w:type="paragraph" w:customStyle="1" w:styleId="msonormal0">
    <w:name w:val="msonormal"/>
    <w:basedOn w:val="Normal"/>
    <w:rsid w:val="00CB2FF5"/>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3">
    <w:name w:val="xl63"/>
    <w:basedOn w:val="Normal"/>
    <w:rsid w:val="00CB2FF5"/>
    <w:pP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eastAsia="pt-BR"/>
    </w:rPr>
  </w:style>
  <w:style w:type="paragraph" w:customStyle="1" w:styleId="xl64">
    <w:name w:val="xl64"/>
    <w:basedOn w:val="Normal"/>
    <w:rsid w:val="00CB2FF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0"/>
      <w:szCs w:val="10"/>
      <w:lang w:eastAsia="pt-BR"/>
    </w:rPr>
  </w:style>
  <w:style w:type="paragraph" w:customStyle="1" w:styleId="xl65">
    <w:name w:val="xl65"/>
    <w:basedOn w:val="Normal"/>
    <w:rsid w:val="00CB2FF5"/>
    <w:pPr>
      <w:pBdr>
        <w:left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b/>
      <w:bCs/>
      <w:color w:val="000000"/>
      <w:sz w:val="10"/>
      <w:szCs w:val="10"/>
      <w:lang w:eastAsia="pt-BR"/>
    </w:rPr>
  </w:style>
  <w:style w:type="paragraph" w:customStyle="1" w:styleId="xl66">
    <w:name w:val="xl66"/>
    <w:basedOn w:val="Normal"/>
    <w:rsid w:val="00CB2FF5"/>
    <w:pPr>
      <w:pBdr>
        <w:left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b/>
      <w:bCs/>
      <w:color w:val="000000"/>
      <w:sz w:val="10"/>
      <w:szCs w:val="10"/>
      <w:lang w:eastAsia="pt-BR"/>
    </w:rPr>
  </w:style>
  <w:style w:type="paragraph" w:customStyle="1" w:styleId="xl67">
    <w:name w:val="xl67"/>
    <w:basedOn w:val="Normal"/>
    <w:rsid w:val="00CB2FF5"/>
    <w:pPr>
      <w:pBdr>
        <w:left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10"/>
      <w:szCs w:val="10"/>
      <w:lang w:eastAsia="pt-BR"/>
    </w:rPr>
  </w:style>
  <w:style w:type="paragraph" w:customStyle="1" w:styleId="xl68">
    <w:name w:val="xl68"/>
    <w:basedOn w:val="Normal"/>
    <w:rsid w:val="00CB2FF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b/>
      <w:bCs/>
      <w:color w:val="000000"/>
      <w:sz w:val="10"/>
      <w:szCs w:val="10"/>
      <w:lang w:eastAsia="pt-BR"/>
    </w:rPr>
  </w:style>
  <w:style w:type="paragraph" w:customStyle="1" w:styleId="xl69">
    <w:name w:val="xl69"/>
    <w:basedOn w:val="Normal"/>
    <w:rsid w:val="00CB2FF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b/>
      <w:bCs/>
      <w:color w:val="000000"/>
      <w:sz w:val="10"/>
      <w:szCs w:val="10"/>
      <w:lang w:eastAsia="pt-BR"/>
    </w:rPr>
  </w:style>
  <w:style w:type="paragraph" w:customStyle="1" w:styleId="xl70">
    <w:name w:val="xl70"/>
    <w:basedOn w:val="Normal"/>
    <w:rsid w:val="00CB2FF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b/>
      <w:bCs/>
      <w:color w:val="000000"/>
      <w:sz w:val="10"/>
      <w:szCs w:val="10"/>
      <w:lang w:eastAsia="pt-BR"/>
    </w:rPr>
  </w:style>
  <w:style w:type="paragraph" w:customStyle="1" w:styleId="xl71">
    <w:name w:val="xl71"/>
    <w:basedOn w:val="Normal"/>
    <w:rsid w:val="00CB2FF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0"/>
      <w:szCs w:val="10"/>
      <w:lang w:eastAsia="pt-BR"/>
    </w:rPr>
  </w:style>
  <w:style w:type="paragraph" w:customStyle="1" w:styleId="xl72">
    <w:name w:val="xl72"/>
    <w:basedOn w:val="Normal"/>
    <w:rsid w:val="00CB2FF5"/>
    <w:pPr>
      <w:pBdr>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10"/>
      <w:szCs w:val="10"/>
      <w:lang w:eastAsia="pt-BR"/>
    </w:rPr>
  </w:style>
  <w:style w:type="paragraph" w:customStyle="1" w:styleId="xl73">
    <w:name w:val="xl73"/>
    <w:basedOn w:val="Normal"/>
    <w:rsid w:val="00CB2FF5"/>
    <w:pPr>
      <w:pBdr>
        <w:left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10"/>
      <w:szCs w:val="10"/>
      <w:lang w:eastAsia="pt-BR"/>
    </w:rPr>
  </w:style>
  <w:style w:type="paragraph" w:customStyle="1" w:styleId="xl74">
    <w:name w:val="xl74"/>
    <w:basedOn w:val="Normal"/>
    <w:rsid w:val="00CB2FF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0"/>
      <w:szCs w:val="10"/>
      <w:lang w:eastAsia="pt-BR"/>
    </w:rPr>
  </w:style>
  <w:style w:type="paragraph" w:customStyle="1" w:styleId="xl75">
    <w:name w:val="xl75"/>
    <w:basedOn w:val="Normal"/>
    <w:rsid w:val="00CB2FF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top"/>
    </w:pPr>
    <w:rPr>
      <w:rFonts w:ascii="Times New Roman" w:eastAsia="Times New Roman" w:hAnsi="Times New Roman"/>
      <w:b/>
      <w:bCs/>
      <w:color w:val="000000"/>
      <w:sz w:val="10"/>
      <w:szCs w:val="10"/>
      <w:lang w:eastAsia="pt-BR"/>
    </w:rPr>
  </w:style>
  <w:style w:type="paragraph" w:customStyle="1" w:styleId="xl76">
    <w:name w:val="xl76"/>
    <w:basedOn w:val="Normal"/>
    <w:rsid w:val="00CB2FF5"/>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0"/>
      <w:szCs w:val="10"/>
      <w:lang w:eastAsia="pt-BR"/>
    </w:rPr>
  </w:style>
  <w:style w:type="paragraph" w:customStyle="1" w:styleId="xl77">
    <w:name w:val="xl77"/>
    <w:basedOn w:val="Normal"/>
    <w:rsid w:val="00CB2FF5"/>
    <w:pPr>
      <w:pBdr>
        <w:top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eastAsia="pt-BR"/>
    </w:rPr>
  </w:style>
  <w:style w:type="paragraph" w:customStyle="1" w:styleId="xl78">
    <w:name w:val="xl78"/>
    <w:basedOn w:val="Normal"/>
    <w:rsid w:val="00CB2FF5"/>
    <w:pPr>
      <w:shd w:val="clear" w:color="000000" w:fill="FFFFFF"/>
      <w:spacing w:before="100" w:beforeAutospacing="1" w:after="100" w:afterAutospacing="1" w:line="240" w:lineRule="auto"/>
      <w:textAlignment w:val="center"/>
    </w:pPr>
    <w:rPr>
      <w:rFonts w:ascii="Times New Roman" w:eastAsia="Times New Roman" w:hAnsi="Times New Roman"/>
      <w:color w:val="000000"/>
      <w:sz w:val="10"/>
      <w:szCs w:val="10"/>
      <w:lang w:eastAsia="pt-BR"/>
    </w:rPr>
  </w:style>
  <w:style w:type="paragraph" w:customStyle="1" w:styleId="xl79">
    <w:name w:val="xl79"/>
    <w:basedOn w:val="Normal"/>
    <w:rsid w:val="00CB2FF5"/>
    <w:pPr>
      <w:pBdr>
        <w:top w:val="single" w:sz="4" w:space="0" w:color="000000"/>
      </w:pBdr>
      <w:shd w:val="clear" w:color="000000" w:fill="FFFFFF"/>
      <w:spacing w:before="100" w:beforeAutospacing="1" w:after="100" w:afterAutospacing="1" w:line="240" w:lineRule="auto"/>
      <w:textAlignment w:val="top"/>
    </w:pPr>
    <w:rPr>
      <w:rFonts w:ascii="SansSerif" w:eastAsia="Times New Roman" w:hAnsi="SansSerif"/>
      <w:color w:val="000000"/>
      <w:sz w:val="18"/>
      <w:szCs w:val="18"/>
      <w:lang w:eastAsia="pt-BR"/>
    </w:rPr>
  </w:style>
  <w:style w:type="paragraph" w:customStyle="1" w:styleId="xl80">
    <w:name w:val="xl80"/>
    <w:basedOn w:val="Normal"/>
    <w:rsid w:val="00CB2FF5"/>
    <w:pPr>
      <w:shd w:val="clear" w:color="000000" w:fill="FFFFFF"/>
      <w:spacing w:before="100" w:beforeAutospacing="1" w:after="100" w:afterAutospacing="1" w:line="240" w:lineRule="auto"/>
      <w:textAlignment w:val="center"/>
    </w:pPr>
    <w:rPr>
      <w:rFonts w:ascii="Times New Roman" w:eastAsia="Times New Roman" w:hAnsi="Times New Roman"/>
      <w:color w:val="000000"/>
      <w:sz w:val="10"/>
      <w:szCs w:val="10"/>
      <w:lang w:eastAsia="pt-BR"/>
    </w:rPr>
  </w:style>
  <w:style w:type="paragraph" w:styleId="SemEspaamento">
    <w:name w:val="No Spacing"/>
    <w:link w:val="SemEspaamentoChar"/>
    <w:uiPriority w:val="1"/>
    <w:qFormat/>
    <w:rsid w:val="00CB2FF5"/>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CB2FF5"/>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2773">
      <w:bodyDiv w:val="1"/>
      <w:marLeft w:val="0"/>
      <w:marRight w:val="0"/>
      <w:marTop w:val="0"/>
      <w:marBottom w:val="0"/>
      <w:divBdr>
        <w:top w:val="none" w:sz="0" w:space="0" w:color="auto"/>
        <w:left w:val="none" w:sz="0" w:space="0" w:color="auto"/>
        <w:bottom w:val="none" w:sz="0" w:space="0" w:color="auto"/>
        <w:right w:val="none" w:sz="0" w:space="0" w:color="auto"/>
      </w:divBdr>
    </w:div>
    <w:div w:id="107893138">
      <w:bodyDiv w:val="1"/>
      <w:marLeft w:val="0"/>
      <w:marRight w:val="0"/>
      <w:marTop w:val="0"/>
      <w:marBottom w:val="0"/>
      <w:divBdr>
        <w:top w:val="none" w:sz="0" w:space="0" w:color="auto"/>
        <w:left w:val="none" w:sz="0" w:space="0" w:color="auto"/>
        <w:bottom w:val="none" w:sz="0" w:space="0" w:color="auto"/>
        <w:right w:val="none" w:sz="0" w:space="0" w:color="auto"/>
      </w:divBdr>
    </w:div>
    <w:div w:id="200094272">
      <w:bodyDiv w:val="1"/>
      <w:marLeft w:val="0"/>
      <w:marRight w:val="0"/>
      <w:marTop w:val="0"/>
      <w:marBottom w:val="0"/>
      <w:divBdr>
        <w:top w:val="none" w:sz="0" w:space="0" w:color="auto"/>
        <w:left w:val="none" w:sz="0" w:space="0" w:color="auto"/>
        <w:bottom w:val="none" w:sz="0" w:space="0" w:color="auto"/>
        <w:right w:val="none" w:sz="0" w:space="0" w:color="auto"/>
      </w:divBdr>
    </w:div>
    <w:div w:id="269513383">
      <w:bodyDiv w:val="1"/>
      <w:marLeft w:val="0"/>
      <w:marRight w:val="0"/>
      <w:marTop w:val="0"/>
      <w:marBottom w:val="0"/>
      <w:divBdr>
        <w:top w:val="none" w:sz="0" w:space="0" w:color="auto"/>
        <w:left w:val="none" w:sz="0" w:space="0" w:color="auto"/>
        <w:bottom w:val="none" w:sz="0" w:space="0" w:color="auto"/>
        <w:right w:val="none" w:sz="0" w:space="0" w:color="auto"/>
      </w:divBdr>
    </w:div>
    <w:div w:id="384531173">
      <w:bodyDiv w:val="1"/>
      <w:marLeft w:val="0"/>
      <w:marRight w:val="0"/>
      <w:marTop w:val="0"/>
      <w:marBottom w:val="0"/>
      <w:divBdr>
        <w:top w:val="none" w:sz="0" w:space="0" w:color="auto"/>
        <w:left w:val="none" w:sz="0" w:space="0" w:color="auto"/>
        <w:bottom w:val="none" w:sz="0" w:space="0" w:color="auto"/>
        <w:right w:val="none" w:sz="0" w:space="0" w:color="auto"/>
      </w:divBdr>
    </w:div>
    <w:div w:id="389114542">
      <w:bodyDiv w:val="1"/>
      <w:marLeft w:val="0"/>
      <w:marRight w:val="0"/>
      <w:marTop w:val="0"/>
      <w:marBottom w:val="0"/>
      <w:divBdr>
        <w:top w:val="none" w:sz="0" w:space="0" w:color="auto"/>
        <w:left w:val="none" w:sz="0" w:space="0" w:color="auto"/>
        <w:bottom w:val="none" w:sz="0" w:space="0" w:color="auto"/>
        <w:right w:val="none" w:sz="0" w:space="0" w:color="auto"/>
      </w:divBdr>
    </w:div>
    <w:div w:id="493029425">
      <w:bodyDiv w:val="1"/>
      <w:marLeft w:val="0"/>
      <w:marRight w:val="0"/>
      <w:marTop w:val="0"/>
      <w:marBottom w:val="0"/>
      <w:divBdr>
        <w:top w:val="none" w:sz="0" w:space="0" w:color="auto"/>
        <w:left w:val="none" w:sz="0" w:space="0" w:color="auto"/>
        <w:bottom w:val="none" w:sz="0" w:space="0" w:color="auto"/>
        <w:right w:val="none" w:sz="0" w:space="0" w:color="auto"/>
      </w:divBdr>
    </w:div>
    <w:div w:id="632910570">
      <w:bodyDiv w:val="1"/>
      <w:marLeft w:val="0"/>
      <w:marRight w:val="0"/>
      <w:marTop w:val="0"/>
      <w:marBottom w:val="0"/>
      <w:divBdr>
        <w:top w:val="none" w:sz="0" w:space="0" w:color="auto"/>
        <w:left w:val="none" w:sz="0" w:space="0" w:color="auto"/>
        <w:bottom w:val="none" w:sz="0" w:space="0" w:color="auto"/>
        <w:right w:val="none" w:sz="0" w:space="0" w:color="auto"/>
      </w:divBdr>
    </w:div>
    <w:div w:id="706563182">
      <w:bodyDiv w:val="1"/>
      <w:marLeft w:val="0"/>
      <w:marRight w:val="0"/>
      <w:marTop w:val="0"/>
      <w:marBottom w:val="0"/>
      <w:divBdr>
        <w:top w:val="none" w:sz="0" w:space="0" w:color="auto"/>
        <w:left w:val="none" w:sz="0" w:space="0" w:color="auto"/>
        <w:bottom w:val="none" w:sz="0" w:space="0" w:color="auto"/>
        <w:right w:val="none" w:sz="0" w:space="0" w:color="auto"/>
      </w:divBdr>
    </w:div>
    <w:div w:id="718825768">
      <w:bodyDiv w:val="1"/>
      <w:marLeft w:val="0"/>
      <w:marRight w:val="0"/>
      <w:marTop w:val="0"/>
      <w:marBottom w:val="0"/>
      <w:divBdr>
        <w:top w:val="none" w:sz="0" w:space="0" w:color="auto"/>
        <w:left w:val="none" w:sz="0" w:space="0" w:color="auto"/>
        <w:bottom w:val="none" w:sz="0" w:space="0" w:color="auto"/>
        <w:right w:val="none" w:sz="0" w:space="0" w:color="auto"/>
      </w:divBdr>
    </w:div>
    <w:div w:id="779295675">
      <w:bodyDiv w:val="1"/>
      <w:marLeft w:val="0"/>
      <w:marRight w:val="0"/>
      <w:marTop w:val="0"/>
      <w:marBottom w:val="0"/>
      <w:divBdr>
        <w:top w:val="none" w:sz="0" w:space="0" w:color="auto"/>
        <w:left w:val="none" w:sz="0" w:space="0" w:color="auto"/>
        <w:bottom w:val="none" w:sz="0" w:space="0" w:color="auto"/>
        <w:right w:val="none" w:sz="0" w:space="0" w:color="auto"/>
      </w:divBdr>
    </w:div>
    <w:div w:id="787092863">
      <w:bodyDiv w:val="1"/>
      <w:marLeft w:val="0"/>
      <w:marRight w:val="0"/>
      <w:marTop w:val="0"/>
      <w:marBottom w:val="0"/>
      <w:divBdr>
        <w:top w:val="none" w:sz="0" w:space="0" w:color="auto"/>
        <w:left w:val="none" w:sz="0" w:space="0" w:color="auto"/>
        <w:bottom w:val="none" w:sz="0" w:space="0" w:color="auto"/>
        <w:right w:val="none" w:sz="0" w:space="0" w:color="auto"/>
      </w:divBdr>
    </w:div>
    <w:div w:id="1099908676">
      <w:bodyDiv w:val="1"/>
      <w:marLeft w:val="0"/>
      <w:marRight w:val="0"/>
      <w:marTop w:val="0"/>
      <w:marBottom w:val="0"/>
      <w:divBdr>
        <w:top w:val="none" w:sz="0" w:space="0" w:color="auto"/>
        <w:left w:val="none" w:sz="0" w:space="0" w:color="auto"/>
        <w:bottom w:val="none" w:sz="0" w:space="0" w:color="auto"/>
        <w:right w:val="none" w:sz="0" w:space="0" w:color="auto"/>
      </w:divBdr>
    </w:div>
    <w:div w:id="1228684279">
      <w:bodyDiv w:val="1"/>
      <w:marLeft w:val="0"/>
      <w:marRight w:val="0"/>
      <w:marTop w:val="0"/>
      <w:marBottom w:val="0"/>
      <w:divBdr>
        <w:top w:val="none" w:sz="0" w:space="0" w:color="auto"/>
        <w:left w:val="none" w:sz="0" w:space="0" w:color="auto"/>
        <w:bottom w:val="none" w:sz="0" w:space="0" w:color="auto"/>
        <w:right w:val="none" w:sz="0" w:space="0" w:color="auto"/>
      </w:divBdr>
    </w:div>
    <w:div w:id="1245413188">
      <w:bodyDiv w:val="1"/>
      <w:marLeft w:val="0"/>
      <w:marRight w:val="0"/>
      <w:marTop w:val="0"/>
      <w:marBottom w:val="0"/>
      <w:divBdr>
        <w:top w:val="none" w:sz="0" w:space="0" w:color="auto"/>
        <w:left w:val="none" w:sz="0" w:space="0" w:color="auto"/>
        <w:bottom w:val="none" w:sz="0" w:space="0" w:color="auto"/>
        <w:right w:val="none" w:sz="0" w:space="0" w:color="auto"/>
      </w:divBdr>
    </w:div>
    <w:div w:id="1251429219">
      <w:bodyDiv w:val="1"/>
      <w:marLeft w:val="0"/>
      <w:marRight w:val="0"/>
      <w:marTop w:val="0"/>
      <w:marBottom w:val="0"/>
      <w:divBdr>
        <w:top w:val="none" w:sz="0" w:space="0" w:color="auto"/>
        <w:left w:val="none" w:sz="0" w:space="0" w:color="auto"/>
        <w:bottom w:val="none" w:sz="0" w:space="0" w:color="auto"/>
        <w:right w:val="none" w:sz="0" w:space="0" w:color="auto"/>
      </w:divBdr>
    </w:div>
    <w:div w:id="1436823647">
      <w:bodyDiv w:val="1"/>
      <w:marLeft w:val="0"/>
      <w:marRight w:val="0"/>
      <w:marTop w:val="0"/>
      <w:marBottom w:val="0"/>
      <w:divBdr>
        <w:top w:val="none" w:sz="0" w:space="0" w:color="auto"/>
        <w:left w:val="none" w:sz="0" w:space="0" w:color="auto"/>
        <w:bottom w:val="none" w:sz="0" w:space="0" w:color="auto"/>
        <w:right w:val="none" w:sz="0" w:space="0" w:color="auto"/>
      </w:divBdr>
    </w:div>
    <w:div w:id="1722705453">
      <w:bodyDiv w:val="1"/>
      <w:marLeft w:val="0"/>
      <w:marRight w:val="0"/>
      <w:marTop w:val="0"/>
      <w:marBottom w:val="0"/>
      <w:divBdr>
        <w:top w:val="none" w:sz="0" w:space="0" w:color="auto"/>
        <w:left w:val="none" w:sz="0" w:space="0" w:color="auto"/>
        <w:bottom w:val="none" w:sz="0" w:space="0" w:color="auto"/>
        <w:right w:val="none" w:sz="0" w:space="0" w:color="auto"/>
      </w:divBdr>
    </w:div>
    <w:div w:id="1763260759">
      <w:bodyDiv w:val="1"/>
      <w:marLeft w:val="0"/>
      <w:marRight w:val="0"/>
      <w:marTop w:val="0"/>
      <w:marBottom w:val="0"/>
      <w:divBdr>
        <w:top w:val="none" w:sz="0" w:space="0" w:color="auto"/>
        <w:left w:val="none" w:sz="0" w:space="0" w:color="auto"/>
        <w:bottom w:val="none" w:sz="0" w:space="0" w:color="auto"/>
        <w:right w:val="none" w:sz="0" w:space="0" w:color="auto"/>
      </w:divBdr>
    </w:div>
    <w:div w:id="178680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arencia.gov.br/glossario" TargetMode="External"/><Relationship Id="rId5" Type="http://schemas.openxmlformats.org/officeDocument/2006/relationships/webSettings" Target="webSettings.xml"/><Relationship Id="rId10" Type="http://schemas.openxmlformats.org/officeDocument/2006/relationships/hyperlink" Target="http://www.ifpi.edu.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6224</TotalTime>
  <Pages>40</Pages>
  <Words>10785</Words>
  <Characters>58241</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RELATÓRIO CONTÁBIL - 4º TRIMESTRE DE 2024</vt:lpstr>
    </vt:vector>
  </TitlesOfParts>
  <Company/>
  <LinksUpToDate>false</LinksUpToDate>
  <CharactersWithSpaces>68889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CONTÁBIL - 4º TRIMESTRE DE 2024</dc:title>
  <dc:subject/>
  <dc:creator>Ciro Lima Silva</dc:creator>
  <cp:keywords/>
  <dc:description/>
  <cp:lastModifiedBy>CIRO LIMA SILVA</cp:lastModifiedBy>
  <cp:revision>772</cp:revision>
  <dcterms:created xsi:type="dcterms:W3CDTF">2024-07-25T14:31:00Z</dcterms:created>
  <dcterms:modified xsi:type="dcterms:W3CDTF">2025-02-14T12:51:00Z</dcterms:modified>
</cp:coreProperties>
</file>